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CF4A" w14:textId="77777777" w:rsidR="001C6572" w:rsidRDefault="00296D6D" w:rsidP="00AB14D3">
      <w:pPr>
        <w:tabs>
          <w:tab w:val="left" w:pos="-720"/>
        </w:tabs>
        <w:suppressAutoHyphens/>
        <w:jc w:val="center"/>
        <w:rPr>
          <w:rFonts w:ascii="Bookman Old Style" w:hAnsi="Bookman Old Style"/>
          <w:b/>
          <w:spacing w:val="-3"/>
          <w:sz w:val="22"/>
          <w:szCs w:val="22"/>
        </w:rPr>
      </w:pPr>
      <w:r w:rsidRPr="006B5A28">
        <w:rPr>
          <w:rFonts w:ascii="Bookman Old Style" w:hAnsi="Bookman Old Style"/>
          <w:b/>
          <w:spacing w:val="-3"/>
          <w:sz w:val="22"/>
          <w:szCs w:val="22"/>
        </w:rPr>
        <w:t>02-658</w:t>
      </w:r>
    </w:p>
    <w:p w14:paraId="049A6E8D" w14:textId="77777777" w:rsidR="009A6BE8" w:rsidRPr="009A6BE8" w:rsidRDefault="009A6BE8" w:rsidP="009A6BE8">
      <w:pPr>
        <w:widowControl/>
        <w:jc w:val="center"/>
        <w:rPr>
          <w:rFonts w:ascii="Times New Roman" w:hAnsi="Times New Roman"/>
          <w:snapToGrid/>
          <w:sz w:val="20"/>
        </w:rPr>
      </w:pPr>
      <w:r w:rsidRPr="009A6BE8">
        <w:rPr>
          <w:rFonts w:ascii="Bookman Old Style" w:eastAsia="Bookman Old Style" w:hAnsi="Bookman Old Style" w:cs="Bookman Old Style"/>
          <w:snapToGrid/>
          <w:sz w:val="22"/>
          <w:szCs w:val="22"/>
        </w:rPr>
        <w:t>Office of Professional and Occupational Regulation</w:t>
      </w:r>
    </w:p>
    <w:p w14:paraId="0C7709F3" w14:textId="77777777" w:rsidR="00296D6D" w:rsidRPr="006B5A28" w:rsidRDefault="00296D6D" w:rsidP="00AB14D3">
      <w:pPr>
        <w:tabs>
          <w:tab w:val="left" w:pos="-720"/>
        </w:tabs>
        <w:suppressAutoHyphens/>
        <w:jc w:val="center"/>
        <w:rPr>
          <w:rFonts w:ascii="Bookman Old Style" w:hAnsi="Bookman Old Style"/>
          <w:b/>
          <w:spacing w:val="-3"/>
          <w:sz w:val="22"/>
          <w:szCs w:val="22"/>
        </w:rPr>
      </w:pPr>
      <w:r w:rsidRPr="006B5A28">
        <w:rPr>
          <w:rFonts w:ascii="Bookman Old Style" w:hAnsi="Bookman Old Style"/>
          <w:b/>
          <w:spacing w:val="-3"/>
          <w:sz w:val="22"/>
          <w:szCs w:val="22"/>
        </w:rPr>
        <w:t>Maine Fuel Board</w:t>
      </w:r>
    </w:p>
    <w:p w14:paraId="2A27FABC" w14:textId="68C5C053" w:rsidR="005F71EC" w:rsidRPr="006B5A28" w:rsidRDefault="00A75D66" w:rsidP="00AB14D3">
      <w:pPr>
        <w:pStyle w:val="DefaultText"/>
        <w:ind w:left="-540" w:right="-720"/>
        <w:jc w:val="center"/>
        <w:rPr>
          <w:rFonts w:ascii="Bookman Old Style" w:hAnsi="Bookman Old Style"/>
          <w:sz w:val="22"/>
          <w:szCs w:val="22"/>
        </w:rPr>
      </w:pPr>
      <w:r w:rsidRPr="50F7087E">
        <w:rPr>
          <w:rFonts w:ascii="Bookman Old Style" w:hAnsi="Bookman Old Style"/>
          <w:sz w:val="22"/>
          <w:szCs w:val="22"/>
        </w:rPr>
        <w:t>20</w:t>
      </w:r>
      <w:r w:rsidR="00D30C18" w:rsidRPr="50F7087E">
        <w:rPr>
          <w:rFonts w:ascii="Bookman Old Style" w:hAnsi="Bookman Old Style"/>
          <w:sz w:val="22"/>
          <w:szCs w:val="22"/>
        </w:rPr>
        <w:t>2</w:t>
      </w:r>
      <w:r w:rsidR="129B69A1" w:rsidRPr="50F7087E">
        <w:rPr>
          <w:rFonts w:ascii="Bookman Old Style" w:hAnsi="Bookman Old Style"/>
          <w:sz w:val="22"/>
          <w:szCs w:val="22"/>
        </w:rPr>
        <w:t>5</w:t>
      </w:r>
      <w:r w:rsidRPr="50F7087E">
        <w:rPr>
          <w:rFonts w:ascii="Bookman Old Style" w:hAnsi="Bookman Old Style"/>
          <w:sz w:val="22"/>
          <w:szCs w:val="22"/>
        </w:rPr>
        <w:t>-20</w:t>
      </w:r>
      <w:r w:rsidR="00976C1B" w:rsidRPr="50F7087E">
        <w:rPr>
          <w:rFonts w:ascii="Bookman Old Style" w:hAnsi="Bookman Old Style"/>
          <w:sz w:val="22"/>
          <w:szCs w:val="22"/>
        </w:rPr>
        <w:t>2</w:t>
      </w:r>
      <w:r w:rsidR="537C3F58" w:rsidRPr="50F7087E">
        <w:rPr>
          <w:rFonts w:ascii="Bookman Old Style" w:hAnsi="Bookman Old Style"/>
          <w:sz w:val="22"/>
          <w:szCs w:val="22"/>
        </w:rPr>
        <w:t>6</w:t>
      </w:r>
      <w:r w:rsidR="005F71EC" w:rsidRPr="50F7087E">
        <w:rPr>
          <w:rFonts w:ascii="Bookman Old Style" w:hAnsi="Bookman Old Style"/>
          <w:sz w:val="22"/>
          <w:szCs w:val="22"/>
        </w:rPr>
        <w:t xml:space="preserve"> Regulatory Agenda</w:t>
      </w:r>
    </w:p>
    <w:p w14:paraId="5ACACCBF" w14:textId="77777777" w:rsidR="005F71EC" w:rsidRPr="006B5A28" w:rsidRDefault="005F71EC" w:rsidP="00296D6D">
      <w:pPr>
        <w:jc w:val="center"/>
        <w:rPr>
          <w:rFonts w:ascii="Bookman Old Style" w:hAnsi="Bookman Old Style"/>
          <w:sz w:val="22"/>
          <w:szCs w:val="22"/>
        </w:rPr>
      </w:pPr>
    </w:p>
    <w:p w14:paraId="311D9C0C" w14:textId="77777777" w:rsidR="00296D6D" w:rsidRPr="006B5A28" w:rsidRDefault="00296D6D" w:rsidP="00296D6D">
      <w:pPr>
        <w:jc w:val="center"/>
        <w:rPr>
          <w:rFonts w:ascii="Bookman Old Style" w:hAnsi="Bookman Old Style"/>
          <w:sz w:val="22"/>
          <w:szCs w:val="22"/>
        </w:rPr>
      </w:pPr>
    </w:p>
    <w:p w14:paraId="57F837F9" w14:textId="77777777" w:rsidR="005F71EC" w:rsidRPr="006B5A28" w:rsidRDefault="005F71EC" w:rsidP="00296D6D">
      <w:pPr>
        <w:rPr>
          <w:rFonts w:ascii="Bookman Old Style" w:hAnsi="Bookman Old Style"/>
          <w:sz w:val="22"/>
          <w:szCs w:val="22"/>
        </w:rPr>
      </w:pPr>
      <w:r w:rsidRPr="006B5A28">
        <w:rPr>
          <w:rFonts w:ascii="Bookman Old Style" w:hAnsi="Bookman Old Style"/>
          <w:sz w:val="22"/>
          <w:szCs w:val="22"/>
        </w:rPr>
        <w:t xml:space="preserve">AGENCY UMBRELLA-UNIT NUMBER: </w:t>
      </w:r>
      <w:r w:rsidRPr="006B5A28">
        <w:rPr>
          <w:rFonts w:ascii="Bookman Old Style" w:hAnsi="Bookman Old Style"/>
          <w:b/>
          <w:sz w:val="22"/>
          <w:szCs w:val="22"/>
        </w:rPr>
        <w:t>02-</w:t>
      </w:r>
      <w:r w:rsidR="00296D6D" w:rsidRPr="006B5A28">
        <w:rPr>
          <w:rFonts w:ascii="Bookman Old Style" w:hAnsi="Bookman Old Style"/>
          <w:b/>
          <w:sz w:val="22"/>
          <w:szCs w:val="22"/>
        </w:rPr>
        <w:t>658</w:t>
      </w:r>
    </w:p>
    <w:p w14:paraId="68882D76" w14:textId="77777777" w:rsidR="005F71EC" w:rsidRPr="006B5A28" w:rsidRDefault="005F71EC" w:rsidP="00296D6D">
      <w:pPr>
        <w:rPr>
          <w:rFonts w:ascii="Bookman Old Style" w:hAnsi="Bookman Old Style"/>
          <w:sz w:val="22"/>
          <w:szCs w:val="22"/>
        </w:rPr>
      </w:pPr>
      <w:r w:rsidRPr="006B5A28">
        <w:rPr>
          <w:rFonts w:ascii="Bookman Old Style" w:hAnsi="Bookman Old Style"/>
          <w:sz w:val="22"/>
          <w:szCs w:val="22"/>
        </w:rPr>
        <w:t>AGENCY NAME: Department of Professional and Financial Regulation</w:t>
      </w:r>
      <w:r w:rsidR="00296D6D" w:rsidRPr="006B5A28">
        <w:rPr>
          <w:rFonts w:ascii="Bookman Old Style" w:hAnsi="Bookman Old Style"/>
          <w:sz w:val="22"/>
          <w:szCs w:val="22"/>
        </w:rPr>
        <w:t xml:space="preserve">, </w:t>
      </w:r>
      <w:r w:rsidRPr="006B5A28">
        <w:rPr>
          <w:rFonts w:ascii="Bookman Old Style" w:hAnsi="Bookman Old Style"/>
          <w:sz w:val="22"/>
          <w:szCs w:val="22"/>
        </w:rPr>
        <w:t>Office of Professional and Occupational Regulation</w:t>
      </w:r>
      <w:r w:rsidR="00296D6D" w:rsidRPr="006B5A28">
        <w:rPr>
          <w:rFonts w:ascii="Bookman Old Style" w:hAnsi="Bookman Old Style"/>
          <w:sz w:val="22"/>
          <w:szCs w:val="22"/>
        </w:rPr>
        <w:t xml:space="preserve">, </w:t>
      </w:r>
      <w:r w:rsidRPr="006B5A28">
        <w:rPr>
          <w:rFonts w:ascii="Bookman Old Style" w:hAnsi="Bookman Old Style"/>
          <w:b/>
          <w:sz w:val="22"/>
          <w:szCs w:val="22"/>
        </w:rPr>
        <w:t>Maine Fuel Board</w:t>
      </w:r>
    </w:p>
    <w:p w14:paraId="4B44F82F" w14:textId="77777777" w:rsidR="005F71EC" w:rsidRPr="006B5A28" w:rsidRDefault="005F71EC" w:rsidP="00296D6D">
      <w:pPr>
        <w:rPr>
          <w:rFonts w:ascii="Bookman Old Style" w:hAnsi="Bookman Old Style"/>
          <w:sz w:val="22"/>
          <w:szCs w:val="22"/>
        </w:rPr>
      </w:pPr>
    </w:p>
    <w:p w14:paraId="22752117" w14:textId="2D541BA1" w:rsidR="00E32CF1" w:rsidRPr="006B5A28" w:rsidRDefault="1EC68435" w:rsidP="50F7087E">
      <w:pPr>
        <w:suppressAutoHyphens/>
      </w:pPr>
      <w:r w:rsidRPr="50F7087E">
        <w:rPr>
          <w:rFonts w:ascii="Bookman Old Style" w:eastAsia="Bookman Old Style" w:hAnsi="Bookman Old Style" w:cs="Bookman Old Style"/>
          <w:sz w:val="22"/>
          <w:szCs w:val="22"/>
        </w:rPr>
        <w:t xml:space="preserve">CONTACT INFORMATION </w:t>
      </w:r>
      <w:r w:rsidRPr="50F7087E">
        <w:rPr>
          <w:rFonts w:ascii="Bookman Old Style" w:eastAsia="Bookman Old Style" w:hAnsi="Bookman Old Style" w:cs="Bookman Old Style"/>
          <w:caps/>
          <w:sz w:val="22"/>
          <w:szCs w:val="22"/>
        </w:rPr>
        <w:t xml:space="preserve">for thE agency </w:t>
      </w:r>
      <w:r w:rsidRPr="50F7087E">
        <w:rPr>
          <w:rFonts w:ascii="Bookman Old Style" w:eastAsia="Bookman Old Style" w:hAnsi="Bookman Old Style" w:cs="Bookman Old Style"/>
          <w:b/>
          <w:bCs/>
          <w:caps/>
          <w:sz w:val="22"/>
          <w:szCs w:val="22"/>
        </w:rPr>
        <w:t>RULEMAKING LIAISON</w:t>
      </w:r>
      <w:r w:rsidRPr="50F7087E">
        <w:rPr>
          <w:rFonts w:ascii="Bookman Old Style" w:eastAsia="Bookman Old Style" w:hAnsi="Bookman Old Style" w:cs="Bookman Old Style"/>
          <w:sz w:val="22"/>
          <w:szCs w:val="22"/>
        </w:rPr>
        <w:t xml:space="preserve">: Penny Vaillancourt, Director, OPOR, 35 State House Station, Augusta, ME 04333, 207-441-7153, </w:t>
      </w:r>
      <w:hyperlink r:id="rId10">
        <w:r w:rsidRPr="50F7087E">
          <w:rPr>
            <w:rStyle w:val="Hyperlink"/>
            <w:rFonts w:ascii="Bookman Old Style" w:eastAsia="Bookman Old Style" w:hAnsi="Bookman Old Style" w:cs="Bookman Old Style"/>
            <w:sz w:val="22"/>
            <w:szCs w:val="22"/>
          </w:rPr>
          <w:t>penny.vaillancourt@maine.gov</w:t>
        </w:r>
      </w:hyperlink>
    </w:p>
    <w:p w14:paraId="240D33AC" w14:textId="5E4270AE" w:rsidR="00E32CF1" w:rsidRPr="006B5A28" w:rsidRDefault="00E32CF1" w:rsidP="50F7087E">
      <w:pPr>
        <w:suppressAutoHyphens/>
        <w:rPr>
          <w:rFonts w:ascii="Bookman Old Style" w:hAnsi="Bookman Old Style"/>
          <w:b/>
          <w:bCs/>
          <w:spacing w:val="-3"/>
          <w:sz w:val="22"/>
          <w:szCs w:val="22"/>
        </w:rPr>
      </w:pPr>
    </w:p>
    <w:p w14:paraId="007808F8" w14:textId="77777777" w:rsidR="001C6572" w:rsidRPr="006B5A28" w:rsidRDefault="001C6572"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EMERGENCY RULES ADOPTED SINCE THE LAST REGULATORY AGENDA</w:t>
      </w:r>
      <w:r w:rsidR="00721605" w:rsidRPr="006B5A28">
        <w:rPr>
          <w:rFonts w:ascii="Bookman Old Style" w:hAnsi="Bookman Old Style"/>
          <w:b/>
          <w:spacing w:val="-3"/>
          <w:sz w:val="22"/>
          <w:szCs w:val="22"/>
        </w:rPr>
        <w:t>:</w:t>
      </w:r>
      <w:r w:rsidR="005D6929" w:rsidRPr="006B5A28">
        <w:rPr>
          <w:rFonts w:ascii="Bookman Old Style" w:hAnsi="Bookman Old Style"/>
          <w:spacing w:val="-3"/>
          <w:sz w:val="22"/>
          <w:szCs w:val="22"/>
        </w:rPr>
        <w:t xml:space="preserve"> N</w:t>
      </w:r>
      <w:r w:rsidR="00296D6D" w:rsidRPr="006B5A28">
        <w:rPr>
          <w:rFonts w:ascii="Bookman Old Style" w:hAnsi="Bookman Old Style"/>
          <w:spacing w:val="-3"/>
          <w:sz w:val="22"/>
          <w:szCs w:val="22"/>
        </w:rPr>
        <w:t>one</w:t>
      </w:r>
      <w:r w:rsidR="00AB14D3" w:rsidRPr="006B5A28">
        <w:rPr>
          <w:rFonts w:ascii="Bookman Old Style" w:hAnsi="Bookman Old Style"/>
          <w:spacing w:val="-3"/>
          <w:sz w:val="22"/>
          <w:szCs w:val="22"/>
        </w:rPr>
        <w:t>.</w:t>
      </w:r>
    </w:p>
    <w:p w14:paraId="17FCC92B" w14:textId="77777777" w:rsidR="001C6572" w:rsidRPr="006B5A28" w:rsidRDefault="001C6572" w:rsidP="00296D6D">
      <w:pPr>
        <w:tabs>
          <w:tab w:val="left" w:pos="-720"/>
        </w:tabs>
        <w:suppressAutoHyphens/>
        <w:rPr>
          <w:rFonts w:ascii="Bookman Old Style" w:hAnsi="Bookman Old Style"/>
          <w:spacing w:val="-3"/>
          <w:sz w:val="22"/>
          <w:szCs w:val="22"/>
        </w:rPr>
      </w:pPr>
    </w:p>
    <w:p w14:paraId="164A7238" w14:textId="77777777" w:rsidR="00943B27" w:rsidRDefault="00A215D1" w:rsidP="50F7087E">
      <w:pPr>
        <w:suppressAutoHyphens/>
        <w:rPr>
          <w:rFonts w:ascii="Bookman Old Style" w:hAnsi="Bookman Old Style"/>
          <w:sz w:val="22"/>
          <w:szCs w:val="22"/>
        </w:rPr>
      </w:pPr>
      <w:r w:rsidRPr="50F7087E">
        <w:rPr>
          <w:rFonts w:ascii="Bookman Old Style" w:hAnsi="Bookman Old Style"/>
          <w:b/>
          <w:bCs/>
          <w:sz w:val="22"/>
          <w:szCs w:val="22"/>
        </w:rPr>
        <w:t>EXPECTED 202</w:t>
      </w:r>
      <w:r w:rsidR="492E6431" w:rsidRPr="50F7087E">
        <w:rPr>
          <w:rFonts w:ascii="Bookman Old Style" w:hAnsi="Bookman Old Style"/>
          <w:b/>
          <w:bCs/>
          <w:sz w:val="22"/>
          <w:szCs w:val="22"/>
        </w:rPr>
        <w:t>5</w:t>
      </w:r>
      <w:r w:rsidRPr="50F7087E">
        <w:rPr>
          <w:rFonts w:ascii="Bookman Old Style" w:hAnsi="Bookman Old Style"/>
          <w:b/>
          <w:bCs/>
          <w:sz w:val="22"/>
          <w:szCs w:val="22"/>
        </w:rPr>
        <w:t>-202</w:t>
      </w:r>
      <w:r w:rsidR="4D438442" w:rsidRPr="50F7087E">
        <w:rPr>
          <w:rFonts w:ascii="Bookman Old Style" w:hAnsi="Bookman Old Style"/>
          <w:b/>
          <w:bCs/>
          <w:sz w:val="22"/>
          <w:szCs w:val="22"/>
        </w:rPr>
        <w:t xml:space="preserve">6 </w:t>
      </w:r>
      <w:r w:rsidRPr="50F7087E">
        <w:rPr>
          <w:rFonts w:ascii="Bookman Old Style" w:hAnsi="Bookman Old Style"/>
          <w:b/>
          <w:bCs/>
          <w:sz w:val="22"/>
          <w:szCs w:val="22"/>
        </w:rPr>
        <w:t>RULE-MAKING ACTIVITY:</w:t>
      </w:r>
      <w:r>
        <w:rPr>
          <w:rFonts w:ascii="Bookman Old Style" w:hAnsi="Bookman Old Style"/>
          <w:sz w:val="22"/>
          <w:szCs w:val="22"/>
        </w:rPr>
        <w:t xml:space="preserve"> </w:t>
      </w:r>
    </w:p>
    <w:p w14:paraId="1BC6E9E5" w14:textId="77777777" w:rsidR="00943B27" w:rsidRDefault="00943B27" w:rsidP="50F7087E">
      <w:pPr>
        <w:suppressAutoHyphens/>
        <w:rPr>
          <w:rFonts w:ascii="Bookman Old Style" w:hAnsi="Bookman Old Style"/>
          <w:sz w:val="22"/>
          <w:szCs w:val="22"/>
        </w:rPr>
      </w:pPr>
    </w:p>
    <w:p w14:paraId="21ECEF7D" w14:textId="410C9BEF" w:rsidR="00A46B08" w:rsidRDefault="00954F7D" w:rsidP="50F7087E">
      <w:pPr>
        <w:suppressAutoHyphens/>
        <w:rPr>
          <w:rFonts w:ascii="Bookman Old Style" w:hAnsi="Bookman Old Style"/>
          <w:sz w:val="22"/>
          <w:szCs w:val="22"/>
        </w:rPr>
      </w:pPr>
      <w:r>
        <w:rPr>
          <w:rStyle w:val="normaltextrun"/>
          <w:rFonts w:ascii="Bookman Old Style" w:hAnsi="Bookman Old Style"/>
          <w:color w:val="000000"/>
          <w:sz w:val="22"/>
          <w:szCs w:val="22"/>
          <w:shd w:val="clear" w:color="auto" w:fill="FFFFFF"/>
        </w:rPr>
        <w:t xml:space="preserve">Rulemaking to implement </w:t>
      </w:r>
      <w:r w:rsidR="009A6BE8">
        <w:rPr>
          <w:rStyle w:val="normaltextrun"/>
          <w:rFonts w:ascii="Bookman Old Style" w:hAnsi="Bookman Old Style"/>
          <w:color w:val="000000"/>
          <w:sz w:val="22"/>
          <w:szCs w:val="22"/>
          <w:shd w:val="clear" w:color="auto" w:fill="FFFFFF"/>
        </w:rPr>
        <w:t>legislative changes</w:t>
      </w:r>
      <w:r>
        <w:rPr>
          <w:rStyle w:val="normaltextrun"/>
          <w:rFonts w:ascii="Bookman Old Style" w:hAnsi="Bookman Old Style"/>
          <w:color w:val="000000"/>
          <w:sz w:val="22"/>
          <w:szCs w:val="22"/>
          <w:shd w:val="clear" w:color="auto" w:fill="FFFFFF"/>
          <w:lang w:val="en"/>
        </w:rPr>
        <w:t xml:space="preserve"> to establish a process to issue a license by endorsement to applicants from other jurisdictions.</w:t>
      </w:r>
      <w:r>
        <w:rPr>
          <w:rStyle w:val="normaltextrun"/>
          <w:color w:val="000000"/>
          <w:sz w:val="22"/>
          <w:szCs w:val="22"/>
          <w:shd w:val="clear" w:color="auto" w:fill="FFFFFF"/>
          <w:lang w:val="en"/>
        </w:rPr>
        <w:t> </w:t>
      </w:r>
    </w:p>
    <w:p w14:paraId="7876C5C0" w14:textId="6BC554AB" w:rsidR="5EE2D76A" w:rsidRDefault="5EE2D76A" w:rsidP="5EE2D76A">
      <w:pPr>
        <w:rPr>
          <w:rStyle w:val="normaltextrun"/>
          <w:rFonts w:ascii="Bookman Old Style" w:hAnsi="Bookman Old Style"/>
          <w:color w:val="000000"/>
          <w:sz w:val="22"/>
          <w:szCs w:val="22"/>
          <w:lang w:val="en"/>
        </w:rPr>
      </w:pPr>
    </w:p>
    <w:p w14:paraId="08141A5C" w14:textId="1024945F" w:rsidR="00943B27" w:rsidRPr="00943B27" w:rsidRDefault="00943B27" w:rsidP="00943B27">
      <w:pPr>
        <w:widowControl/>
        <w:rPr>
          <w:rFonts w:ascii="Bookman Old Style" w:hAnsi="Bookman Old Style"/>
          <w:snapToGrid/>
          <w:sz w:val="22"/>
          <w:szCs w:val="22"/>
        </w:rPr>
      </w:pPr>
      <w:bookmarkStart w:id="0" w:name="_Hlk202024055"/>
      <w:bookmarkStart w:id="1" w:name="_Hlk202020040"/>
      <w:bookmarkStart w:id="2" w:name="_Hlk202021082"/>
      <w:r w:rsidRPr="00943B27">
        <w:rPr>
          <w:rFonts w:ascii="Bookman Old Style" w:hAnsi="Bookman Old Style"/>
          <w:snapToGrid/>
          <w:sz w:val="22"/>
          <w:szCs w:val="22"/>
        </w:rPr>
        <w:t>A review for conformance with statutes and current rules will be conducted and updated as may be necessary</w:t>
      </w:r>
      <w:bookmarkEnd w:id="0"/>
      <w:bookmarkEnd w:id="1"/>
      <w:r w:rsidRPr="00943B27">
        <w:rPr>
          <w:rFonts w:ascii="Bookman Old Style" w:hAnsi="Bookman Old Style"/>
          <w:snapToGrid/>
          <w:sz w:val="22"/>
          <w:szCs w:val="22"/>
        </w:rPr>
        <w:t>, including an update to discontinue the use of the terms “handicap,” “handicapped” and “hearing impaired” pursuant to 36 M.R.S. § 2557, sub-§2.</w:t>
      </w:r>
    </w:p>
    <w:bookmarkEnd w:id="2"/>
    <w:p w14:paraId="384A5CC3" w14:textId="77777777" w:rsidR="00EB3BCD" w:rsidRPr="009A6BE8" w:rsidRDefault="00EB3BCD" w:rsidP="00296D6D">
      <w:pPr>
        <w:tabs>
          <w:tab w:val="left" w:pos="-720"/>
          <w:tab w:val="left" w:pos="0"/>
        </w:tabs>
        <w:suppressAutoHyphens/>
        <w:rPr>
          <w:rFonts w:ascii="Bookman Old Style" w:hAnsi="Bookman Old Style"/>
          <w:spacing w:val="-3"/>
          <w:sz w:val="22"/>
          <w:szCs w:val="22"/>
        </w:rPr>
      </w:pPr>
    </w:p>
    <w:p w14:paraId="17D56D60" w14:textId="77777777" w:rsidR="001C6572" w:rsidRPr="006B5A28" w:rsidRDefault="00AA60F0"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 xml:space="preserve">CHAPTER </w:t>
      </w:r>
      <w:r w:rsidR="002C450C" w:rsidRPr="006B5A28">
        <w:rPr>
          <w:rFonts w:ascii="Bookman Old Style" w:hAnsi="Bookman Old Style"/>
          <w:b/>
          <w:spacing w:val="-3"/>
          <w:sz w:val="22"/>
          <w:szCs w:val="22"/>
        </w:rPr>
        <w:t>1</w:t>
      </w:r>
      <w:r w:rsidR="00296D6D" w:rsidRPr="006B5A28">
        <w:rPr>
          <w:rFonts w:ascii="Bookman Old Style" w:hAnsi="Bookman Old Style"/>
          <w:spacing w:val="-3"/>
          <w:sz w:val="22"/>
          <w:szCs w:val="22"/>
        </w:rPr>
        <w:t>:</w:t>
      </w:r>
      <w:r w:rsidR="00982512" w:rsidRPr="006B5A28">
        <w:rPr>
          <w:rFonts w:ascii="Bookman Old Style" w:hAnsi="Bookman Old Style"/>
          <w:spacing w:val="-3"/>
          <w:sz w:val="22"/>
          <w:szCs w:val="22"/>
        </w:rPr>
        <w:t xml:space="preserve"> </w:t>
      </w:r>
      <w:r w:rsidR="00982512" w:rsidRPr="002A1FC4">
        <w:rPr>
          <w:rFonts w:ascii="Bookman Old Style" w:hAnsi="Bookman Old Style"/>
          <w:b/>
          <w:bCs/>
          <w:spacing w:val="-3"/>
          <w:sz w:val="22"/>
          <w:szCs w:val="22"/>
        </w:rPr>
        <w:t>Definitions</w:t>
      </w:r>
    </w:p>
    <w:p w14:paraId="71D1A8C1" w14:textId="77777777" w:rsidR="001C6572" w:rsidRPr="006B5A28" w:rsidRDefault="00AA60F0"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w:t>
      </w:r>
      <w:r w:rsidR="00721605" w:rsidRPr="006B5A28">
        <w:rPr>
          <w:rFonts w:ascii="Bookman Old Style" w:hAnsi="Bookman Old Style"/>
          <w:spacing w:val="-3"/>
          <w:sz w:val="22"/>
          <w:szCs w:val="22"/>
        </w:rPr>
        <w:t>:</w:t>
      </w:r>
      <w:r w:rsidR="00296D6D" w:rsidRPr="006B5A28">
        <w:rPr>
          <w:rFonts w:ascii="Bookman Old Style" w:hAnsi="Bookman Old Style"/>
          <w:spacing w:val="-3"/>
          <w:sz w:val="22"/>
          <w:szCs w:val="22"/>
        </w:rPr>
        <w:t xml:space="preserve"> 32 M.R.S. §</w:t>
      </w:r>
      <w:r w:rsidR="00902109" w:rsidRPr="006B5A28">
        <w:rPr>
          <w:rFonts w:ascii="Bookman Old Style" w:hAnsi="Bookman Old Style"/>
          <w:spacing w:val="-3"/>
          <w:sz w:val="22"/>
          <w:szCs w:val="22"/>
        </w:rPr>
        <w:t xml:space="preserve"> </w:t>
      </w:r>
      <w:r w:rsidR="002C450C" w:rsidRPr="006B5A28">
        <w:rPr>
          <w:rFonts w:ascii="Bookman Old Style" w:hAnsi="Bookman Old Style"/>
          <w:spacing w:val="-3"/>
          <w:sz w:val="22"/>
          <w:szCs w:val="22"/>
        </w:rPr>
        <w:t>18123(2)</w:t>
      </w:r>
    </w:p>
    <w:p w14:paraId="1343ECC0" w14:textId="39230B8D" w:rsidR="001C6572" w:rsidRPr="006B5A28" w:rsidRDefault="00AA60F0"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PURPOSE</w:t>
      </w:r>
      <w:r w:rsidR="00721605" w:rsidRPr="006B5A28">
        <w:rPr>
          <w:rFonts w:ascii="Bookman Old Style" w:hAnsi="Bookman Old Style"/>
          <w:spacing w:val="-3"/>
          <w:sz w:val="22"/>
          <w:szCs w:val="22"/>
        </w:rPr>
        <w:t>:</w:t>
      </w:r>
      <w:r w:rsidR="002C450C" w:rsidRPr="006B5A28">
        <w:rPr>
          <w:rFonts w:ascii="Bookman Old Style" w:hAnsi="Bookman Old Style"/>
          <w:spacing w:val="-3"/>
          <w:sz w:val="22"/>
          <w:szCs w:val="22"/>
        </w:rPr>
        <w:t xml:space="preserve"> This chapter </w:t>
      </w:r>
      <w:r w:rsidR="00D9586A" w:rsidRPr="006B5A28">
        <w:rPr>
          <w:rFonts w:ascii="Bookman Old Style" w:hAnsi="Bookman Old Style"/>
          <w:spacing w:val="-3"/>
          <w:sz w:val="22"/>
          <w:szCs w:val="22"/>
        </w:rPr>
        <w:t>clarifies</w:t>
      </w:r>
      <w:r w:rsidR="002C450C" w:rsidRPr="006B5A28">
        <w:rPr>
          <w:rFonts w:ascii="Bookman Old Style" w:hAnsi="Bookman Old Style"/>
          <w:spacing w:val="-3"/>
          <w:sz w:val="22"/>
          <w:szCs w:val="22"/>
        </w:rPr>
        <w:t xml:space="preserve"> </w:t>
      </w:r>
      <w:r w:rsidR="00D9586A" w:rsidRPr="006B5A28">
        <w:rPr>
          <w:rFonts w:ascii="Bookman Old Style" w:hAnsi="Bookman Old Style"/>
          <w:spacing w:val="-3"/>
          <w:sz w:val="22"/>
          <w:szCs w:val="22"/>
        </w:rPr>
        <w:t>terms in the law</w:t>
      </w:r>
      <w:r w:rsidR="002C450C" w:rsidRPr="006B5A28">
        <w:rPr>
          <w:rFonts w:ascii="Bookman Old Style" w:hAnsi="Bookman Old Style"/>
          <w:spacing w:val="-3"/>
          <w:sz w:val="22"/>
          <w:szCs w:val="22"/>
        </w:rPr>
        <w:t xml:space="preserve"> and these rules.</w:t>
      </w:r>
      <w:r w:rsidR="006D6E18" w:rsidRPr="006B5A28">
        <w:rPr>
          <w:rFonts w:ascii="Bookman Old Style" w:hAnsi="Bookman Old Style"/>
          <w:spacing w:val="-3"/>
          <w:sz w:val="22"/>
          <w:szCs w:val="22"/>
        </w:rPr>
        <w:t xml:space="preserve">  </w:t>
      </w:r>
      <w:r w:rsidR="006D6E18" w:rsidRPr="006B5A28">
        <w:rPr>
          <w:rFonts w:ascii="Bookman Old Style" w:hAnsi="Bookman Old Style"/>
          <w:sz w:val="22"/>
          <w:szCs w:val="22"/>
        </w:rPr>
        <w:t xml:space="preserve">The Board may review and revise its rules to ensure clarity </w:t>
      </w:r>
      <w:proofErr w:type="gramStart"/>
      <w:r w:rsidR="00AC4D54">
        <w:rPr>
          <w:rFonts w:ascii="Bookman Old Style" w:hAnsi="Bookman Old Style"/>
          <w:sz w:val="22"/>
          <w:szCs w:val="22"/>
        </w:rPr>
        <w:t>in light of</w:t>
      </w:r>
      <w:proofErr w:type="gramEnd"/>
      <w:r w:rsidR="00AC4D54">
        <w:rPr>
          <w:rFonts w:ascii="Bookman Old Style" w:hAnsi="Bookman Old Style"/>
          <w:sz w:val="22"/>
          <w:szCs w:val="22"/>
        </w:rPr>
        <w:t xml:space="preserve"> </w:t>
      </w:r>
      <w:r w:rsidR="00256D52">
        <w:rPr>
          <w:rFonts w:ascii="Bookman Old Style" w:hAnsi="Bookman Old Style"/>
          <w:sz w:val="22"/>
          <w:szCs w:val="22"/>
        </w:rPr>
        <w:t>changing industry education standards.</w:t>
      </w:r>
    </w:p>
    <w:p w14:paraId="2FDE4650" w14:textId="77777777" w:rsidR="001C6572" w:rsidRPr="006B5A28" w:rsidRDefault="00AA60F0"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SCHEDULE FOR ADOPTION</w:t>
      </w:r>
      <w:r w:rsidR="00721605" w:rsidRPr="006B5A28">
        <w:rPr>
          <w:rFonts w:ascii="Bookman Old Style" w:hAnsi="Bookman Old Style"/>
          <w:spacing w:val="-3"/>
          <w:sz w:val="22"/>
          <w:szCs w:val="22"/>
        </w:rPr>
        <w:t>:</w:t>
      </w:r>
      <w:r w:rsidR="002C450C" w:rsidRPr="006B5A28">
        <w:rPr>
          <w:rFonts w:ascii="Bookman Old Style" w:hAnsi="Bookman Old Style"/>
          <w:spacing w:val="-3"/>
          <w:sz w:val="22"/>
          <w:szCs w:val="22"/>
        </w:rPr>
        <w:t xml:space="preserve"> </w:t>
      </w:r>
      <w:r w:rsidR="00983D10" w:rsidRPr="006B5A28">
        <w:rPr>
          <w:rFonts w:ascii="Bookman Old Style" w:hAnsi="Bookman Old Style"/>
          <w:sz w:val="22"/>
          <w:szCs w:val="22"/>
        </w:rPr>
        <w:t>Within one year, if necessary.</w:t>
      </w:r>
    </w:p>
    <w:p w14:paraId="7D3C2641" w14:textId="166BDA59" w:rsidR="001C6572" w:rsidRPr="006B5A28" w:rsidRDefault="00AA60F0"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w:t>
      </w:r>
      <w:r w:rsidR="00721605" w:rsidRPr="006B5A28">
        <w:rPr>
          <w:rFonts w:ascii="Bookman Old Style" w:hAnsi="Bookman Old Style"/>
          <w:spacing w:val="-3"/>
          <w:sz w:val="22"/>
          <w:szCs w:val="22"/>
        </w:rPr>
        <w:t>:</w:t>
      </w:r>
      <w:r w:rsidR="00436A6C" w:rsidRPr="006B5A28">
        <w:rPr>
          <w:rFonts w:ascii="Bookman Old Style" w:hAnsi="Bookman Old Style"/>
          <w:spacing w:val="-3"/>
          <w:sz w:val="22"/>
          <w:szCs w:val="22"/>
        </w:rPr>
        <w:t xml:space="preserve"> Licensees</w:t>
      </w:r>
      <w:r w:rsidR="002A1FC4">
        <w:rPr>
          <w:rFonts w:ascii="Bookman Old Style" w:hAnsi="Bookman Old Style"/>
          <w:spacing w:val="-3"/>
          <w:sz w:val="22"/>
          <w:szCs w:val="22"/>
        </w:rPr>
        <w:t xml:space="preserve"> and members of the public.</w:t>
      </w:r>
    </w:p>
    <w:p w14:paraId="0794787D" w14:textId="3215C02F" w:rsidR="001C6572" w:rsidRDefault="00AA60F0" w:rsidP="00296D6D">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CONSENSUS-BASED RULE DEVELOPMENT</w:t>
      </w:r>
      <w:r w:rsidR="00436A6C" w:rsidRPr="006B5A28">
        <w:rPr>
          <w:rFonts w:ascii="Bookman Old Style" w:hAnsi="Bookman Old Style"/>
          <w:spacing w:val="-3"/>
          <w:sz w:val="22"/>
          <w:szCs w:val="22"/>
        </w:rPr>
        <w:t xml:space="preserve">: </w:t>
      </w:r>
      <w:r w:rsidR="002A1FC4">
        <w:rPr>
          <w:rFonts w:ascii="Bookman Old Style" w:hAnsi="Bookman Old Style"/>
          <w:spacing w:val="-3"/>
          <w:sz w:val="22"/>
          <w:szCs w:val="22"/>
        </w:rPr>
        <w:t>N/A</w:t>
      </w:r>
    </w:p>
    <w:p w14:paraId="6E9EBA44" w14:textId="77777777" w:rsidR="00E1600F" w:rsidRDefault="00E1600F" w:rsidP="00296D6D">
      <w:pPr>
        <w:tabs>
          <w:tab w:val="left" w:pos="-720"/>
          <w:tab w:val="left" w:pos="0"/>
          <w:tab w:val="left" w:pos="1440"/>
          <w:tab w:val="left" w:pos="1800"/>
        </w:tabs>
        <w:suppressAutoHyphens/>
        <w:ind w:right="-180"/>
        <w:rPr>
          <w:rFonts w:ascii="Bookman Old Style" w:hAnsi="Bookman Old Style"/>
          <w:spacing w:val="-3"/>
          <w:sz w:val="22"/>
          <w:szCs w:val="22"/>
        </w:rPr>
      </w:pPr>
    </w:p>
    <w:p w14:paraId="6D7210C3"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2</w:t>
      </w:r>
      <w:r w:rsidRPr="006B5A28">
        <w:rPr>
          <w:rFonts w:ascii="Bookman Old Style" w:hAnsi="Bookman Old Style"/>
          <w:spacing w:val="-3"/>
          <w:sz w:val="22"/>
          <w:szCs w:val="22"/>
        </w:rPr>
        <w:t xml:space="preserve">: </w:t>
      </w:r>
      <w:r w:rsidRPr="00836318">
        <w:rPr>
          <w:rFonts w:ascii="Bookman Old Style" w:hAnsi="Bookman Old Style"/>
          <w:b/>
          <w:bCs/>
          <w:spacing w:val="-3"/>
          <w:sz w:val="22"/>
          <w:szCs w:val="22"/>
        </w:rPr>
        <w:t>Advisory Rulings</w:t>
      </w:r>
    </w:p>
    <w:p w14:paraId="4BF9F184"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5 M.R.S. §§ 8051, 9001(4)</w:t>
      </w:r>
    </w:p>
    <w:p w14:paraId="4EB3255A"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This chapter establishes guidelines relating to advisory rulings.  </w:t>
      </w:r>
      <w:r w:rsidRPr="006B5A28">
        <w:rPr>
          <w:rFonts w:ascii="Bookman Old Style" w:hAnsi="Bookman Old Style"/>
          <w:sz w:val="22"/>
          <w:szCs w:val="22"/>
        </w:rPr>
        <w:t>The Board may review and revise its rules to ensure clarity and conformity with the enabling statute.</w:t>
      </w:r>
    </w:p>
    <w:p w14:paraId="49ACC3B6"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03DD0B0A"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51FD4404" w14:textId="77777777" w:rsidR="00E1600F" w:rsidRPr="006B5A28" w:rsidRDefault="00E1600F" w:rsidP="00E1600F">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7C272EEE" w14:textId="77777777" w:rsidR="00E1600F" w:rsidRPr="006B5A28" w:rsidRDefault="00E1600F" w:rsidP="00E1600F">
      <w:pPr>
        <w:tabs>
          <w:tab w:val="left" w:pos="-720"/>
          <w:tab w:val="left" w:pos="0"/>
          <w:tab w:val="left" w:pos="1440"/>
          <w:tab w:val="left" w:pos="1800"/>
        </w:tabs>
        <w:suppressAutoHyphens/>
        <w:ind w:right="-180"/>
        <w:rPr>
          <w:rFonts w:ascii="Bookman Old Style" w:hAnsi="Bookman Old Style"/>
          <w:spacing w:val="-3"/>
          <w:sz w:val="22"/>
          <w:szCs w:val="22"/>
        </w:rPr>
      </w:pPr>
    </w:p>
    <w:p w14:paraId="06406CBB"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3</w:t>
      </w:r>
      <w:r w:rsidRPr="006B5A28">
        <w:rPr>
          <w:rFonts w:ascii="Bookman Old Style" w:hAnsi="Bookman Old Style"/>
          <w:spacing w:val="-3"/>
          <w:sz w:val="22"/>
          <w:szCs w:val="22"/>
        </w:rPr>
        <w:t xml:space="preserve">: </w:t>
      </w:r>
      <w:r w:rsidRPr="004C3EC8">
        <w:rPr>
          <w:rFonts w:ascii="Bookman Old Style" w:hAnsi="Bookman Old Style"/>
          <w:b/>
          <w:bCs/>
          <w:spacing w:val="-3"/>
          <w:sz w:val="22"/>
          <w:szCs w:val="22"/>
        </w:rPr>
        <w:t>Categories and Responsibilities of Licensure</w:t>
      </w:r>
    </w:p>
    <w:p w14:paraId="7097F69B"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w:t>
      </w:r>
      <w:r w:rsidRPr="00723ED1">
        <w:rPr>
          <w:rFonts w:ascii="Bookman Old Style" w:hAnsi="Bookman Old Style"/>
          <w:spacing w:val="-3"/>
          <w:sz w:val="22"/>
          <w:szCs w:val="22"/>
        </w:rPr>
        <w:t xml:space="preserve">SIS: 32 M.R.S. </w:t>
      </w:r>
      <w:r w:rsidRPr="00723ED1">
        <w:rPr>
          <w:rStyle w:val="normaltextrun"/>
          <w:rFonts w:ascii="Bookman Old Style" w:hAnsi="Bookman Old Style" w:cs="Segoe UI"/>
          <w:color w:val="000000"/>
          <w:sz w:val="22"/>
          <w:szCs w:val="22"/>
          <w:shd w:val="clear" w:color="auto" w:fill="FFFFFF"/>
        </w:rPr>
        <w:t xml:space="preserve">§§ </w:t>
      </w:r>
      <w:r w:rsidRPr="00723ED1">
        <w:rPr>
          <w:rStyle w:val="normaltextrun"/>
          <w:rFonts w:ascii="Bookman Old Style" w:hAnsi="Bookman Old Style"/>
          <w:color w:val="000000"/>
          <w:sz w:val="22"/>
          <w:szCs w:val="22"/>
          <w:shd w:val="clear" w:color="auto" w:fill="FFFFFF"/>
        </w:rPr>
        <w:t xml:space="preserve">18123(2), 18132, 18133, 18134, 18134-A, 18135, </w:t>
      </w:r>
      <w:proofErr w:type="gramStart"/>
      <w:r w:rsidRPr="00723ED1">
        <w:rPr>
          <w:rStyle w:val="normaltextrun"/>
          <w:rFonts w:ascii="Bookman Old Style" w:hAnsi="Bookman Old Style"/>
          <w:color w:val="000000"/>
          <w:sz w:val="22"/>
          <w:szCs w:val="22"/>
          <w:shd w:val="clear" w:color="auto" w:fill="FFFFFF"/>
        </w:rPr>
        <w:t>18136,  18138</w:t>
      </w:r>
      <w:proofErr w:type="gramEnd"/>
      <w:r w:rsidRPr="00723ED1">
        <w:rPr>
          <w:rStyle w:val="normaltextrun"/>
          <w:rFonts w:ascii="Bookman Old Style" w:hAnsi="Bookman Old Style"/>
          <w:color w:val="000000"/>
          <w:sz w:val="22"/>
          <w:szCs w:val="22"/>
          <w:shd w:val="clear" w:color="auto" w:fill="FFFFFF"/>
        </w:rPr>
        <w:t>, 18139</w:t>
      </w:r>
    </w:p>
    <w:p w14:paraId="10DC8CC0" w14:textId="77777777" w:rsidR="00E1600F" w:rsidRPr="006B5A28" w:rsidRDefault="00E1600F" w:rsidP="00E1600F">
      <w:pPr>
        <w:tabs>
          <w:tab w:val="left" w:pos="-720"/>
          <w:tab w:val="left" w:pos="0"/>
        </w:tabs>
        <w:suppressAutoHyphens/>
        <w:ind w:right="-360"/>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This chapter describes the duties and responsibilities for licensure. </w:t>
      </w:r>
      <w:r w:rsidRPr="006B5A28">
        <w:rPr>
          <w:rFonts w:ascii="Bookman Old Style" w:hAnsi="Bookman Old Style"/>
          <w:sz w:val="22"/>
          <w:szCs w:val="22"/>
        </w:rPr>
        <w:t xml:space="preserve">The Board </w:t>
      </w:r>
      <w:r w:rsidRPr="006B5A28">
        <w:rPr>
          <w:rFonts w:ascii="Bookman Old Style" w:hAnsi="Bookman Old Style"/>
          <w:sz w:val="22"/>
          <w:szCs w:val="22"/>
        </w:rPr>
        <w:lastRenderedPageBreak/>
        <w:t>may review and revise its rules to ensure clarity and conformity with the enabling statute.</w:t>
      </w:r>
    </w:p>
    <w:p w14:paraId="78105FB6" w14:textId="77777777" w:rsidR="00E1600F" w:rsidRPr="006B5A28" w:rsidRDefault="00E1600F" w:rsidP="00E1600F">
      <w:pPr>
        <w:tabs>
          <w:tab w:val="left" w:pos="-720"/>
          <w:tab w:val="left" w:pos="0"/>
        </w:tabs>
        <w:suppressAutoHyphens/>
        <w:rPr>
          <w:rFonts w:ascii="Bookman Old Style" w:hAnsi="Bookman Old Style"/>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2734D1A3" w14:textId="77777777" w:rsidR="00E1600F" w:rsidRPr="006B5A28" w:rsidRDefault="00E1600F" w:rsidP="00E1600F">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AFFECTED PARTIES: </w:t>
      </w:r>
      <w:r>
        <w:rPr>
          <w:rFonts w:ascii="Bookman Old Style" w:hAnsi="Bookman Old Style"/>
          <w:spacing w:val="-3"/>
          <w:sz w:val="22"/>
          <w:szCs w:val="22"/>
        </w:rPr>
        <w:t xml:space="preserve">Applicants for licensure and </w:t>
      </w:r>
      <w:r w:rsidRPr="006B5A28">
        <w:rPr>
          <w:rFonts w:ascii="Bookman Old Style" w:hAnsi="Bookman Old Style"/>
          <w:spacing w:val="-3"/>
          <w:sz w:val="22"/>
          <w:szCs w:val="22"/>
        </w:rPr>
        <w:t>Licensees</w:t>
      </w:r>
      <w:r>
        <w:rPr>
          <w:rFonts w:ascii="Bookman Old Style" w:hAnsi="Bookman Old Style"/>
          <w:spacing w:val="-3"/>
          <w:sz w:val="22"/>
          <w:szCs w:val="22"/>
        </w:rPr>
        <w:t>.</w:t>
      </w:r>
    </w:p>
    <w:p w14:paraId="305B3242" w14:textId="77777777" w:rsidR="00E1600F" w:rsidRPr="006B5A28" w:rsidRDefault="00E1600F" w:rsidP="00E1600F">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36DE158B" w14:textId="77777777" w:rsidR="00D04113" w:rsidRPr="006B5A28" w:rsidRDefault="00D04113" w:rsidP="00296D6D">
      <w:pPr>
        <w:tabs>
          <w:tab w:val="left" w:pos="-720"/>
          <w:tab w:val="left" w:pos="0"/>
          <w:tab w:val="left" w:pos="1440"/>
          <w:tab w:val="left" w:pos="1800"/>
        </w:tabs>
        <w:suppressAutoHyphens/>
        <w:ind w:right="-180"/>
        <w:rPr>
          <w:rFonts w:ascii="Bookman Old Style" w:hAnsi="Bookman Old Style"/>
          <w:spacing w:val="-3"/>
          <w:sz w:val="22"/>
          <w:szCs w:val="22"/>
        </w:rPr>
      </w:pPr>
    </w:p>
    <w:p w14:paraId="00ED412E" w14:textId="41389658" w:rsidR="002C450C" w:rsidRPr="006B5A28" w:rsidRDefault="002C450C"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 xml:space="preserve">CHAPTER </w:t>
      </w:r>
      <w:r w:rsidR="00296D6D" w:rsidRPr="006B5A28">
        <w:rPr>
          <w:rFonts w:ascii="Bookman Old Style" w:hAnsi="Bookman Old Style"/>
          <w:b/>
          <w:spacing w:val="-3"/>
          <w:sz w:val="22"/>
          <w:szCs w:val="22"/>
        </w:rPr>
        <w:t>4</w:t>
      </w:r>
      <w:r w:rsidR="00296D6D" w:rsidRPr="006B5A28">
        <w:rPr>
          <w:rFonts w:ascii="Bookman Old Style" w:hAnsi="Bookman Old Style"/>
          <w:spacing w:val="-3"/>
          <w:sz w:val="22"/>
          <w:szCs w:val="22"/>
        </w:rPr>
        <w:t>:</w:t>
      </w:r>
      <w:r w:rsidR="007F35FA" w:rsidRPr="006B5A28">
        <w:rPr>
          <w:rFonts w:ascii="Bookman Old Style" w:hAnsi="Bookman Old Style"/>
          <w:spacing w:val="-3"/>
          <w:sz w:val="22"/>
          <w:szCs w:val="22"/>
        </w:rPr>
        <w:t xml:space="preserve"> </w:t>
      </w:r>
      <w:r w:rsidR="007F35FA" w:rsidRPr="00723ED1">
        <w:rPr>
          <w:rFonts w:ascii="Bookman Old Style" w:hAnsi="Bookman Old Style"/>
          <w:b/>
          <w:bCs/>
          <w:spacing w:val="-3"/>
          <w:sz w:val="22"/>
          <w:szCs w:val="22"/>
        </w:rPr>
        <w:t xml:space="preserve">Qualifications for </w:t>
      </w:r>
      <w:r w:rsidR="00141B2E">
        <w:rPr>
          <w:rFonts w:ascii="Bookman Old Style" w:hAnsi="Bookman Old Style"/>
          <w:b/>
          <w:bCs/>
          <w:spacing w:val="-3"/>
          <w:sz w:val="22"/>
          <w:szCs w:val="22"/>
        </w:rPr>
        <w:t xml:space="preserve">Examination and </w:t>
      </w:r>
      <w:r w:rsidR="007F35FA" w:rsidRPr="00723ED1">
        <w:rPr>
          <w:rFonts w:ascii="Bookman Old Style" w:hAnsi="Bookman Old Style"/>
          <w:b/>
          <w:bCs/>
          <w:spacing w:val="-3"/>
          <w:sz w:val="22"/>
          <w:szCs w:val="22"/>
        </w:rPr>
        <w:t>L</w:t>
      </w:r>
      <w:r w:rsidR="00982512" w:rsidRPr="00723ED1">
        <w:rPr>
          <w:rFonts w:ascii="Bookman Old Style" w:hAnsi="Bookman Old Style"/>
          <w:b/>
          <w:bCs/>
          <w:spacing w:val="-3"/>
          <w:sz w:val="22"/>
          <w:szCs w:val="22"/>
        </w:rPr>
        <w:t>icensure</w:t>
      </w:r>
    </w:p>
    <w:p w14:paraId="28EA205C" w14:textId="77777777" w:rsidR="002C450C" w:rsidRPr="006B5A28" w:rsidRDefault="00296D6D"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w:t>
      </w:r>
      <w:r w:rsidR="00902109" w:rsidRPr="006B5A28">
        <w:rPr>
          <w:rFonts w:ascii="Bookman Old Style" w:hAnsi="Bookman Old Style"/>
          <w:spacing w:val="-3"/>
          <w:sz w:val="22"/>
          <w:szCs w:val="22"/>
        </w:rPr>
        <w:t xml:space="preserve"> </w:t>
      </w:r>
      <w:r w:rsidR="002C450C" w:rsidRPr="006B5A28">
        <w:rPr>
          <w:rFonts w:ascii="Bookman Old Style" w:hAnsi="Bookman Old Style"/>
          <w:spacing w:val="-3"/>
          <w:sz w:val="22"/>
          <w:szCs w:val="22"/>
        </w:rPr>
        <w:t>18123(2)</w:t>
      </w:r>
    </w:p>
    <w:p w14:paraId="0B141B9D" w14:textId="77777777" w:rsidR="00562010" w:rsidRPr="006B5A28" w:rsidRDefault="002A1FC4" w:rsidP="00562010">
      <w:pPr>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t>PURPOSE</w:t>
      </w:r>
      <w:r w:rsidR="002C450C" w:rsidRPr="006B5A28">
        <w:rPr>
          <w:rFonts w:ascii="Bookman Old Style" w:hAnsi="Bookman Old Style"/>
          <w:spacing w:val="-3"/>
          <w:sz w:val="22"/>
          <w:szCs w:val="22"/>
        </w:rPr>
        <w:t>:</w:t>
      </w:r>
      <w:r w:rsidR="00393817" w:rsidRPr="006B5A28">
        <w:rPr>
          <w:rFonts w:ascii="Bookman Old Style" w:hAnsi="Bookman Old Style"/>
          <w:spacing w:val="-3"/>
          <w:sz w:val="22"/>
          <w:szCs w:val="22"/>
        </w:rPr>
        <w:t xml:space="preserve"> This chapter sets forth the qualifications for licensure and describes the application and examination process.</w:t>
      </w:r>
      <w:r w:rsidR="00F0566F" w:rsidRPr="006B5A28">
        <w:rPr>
          <w:rFonts w:ascii="Bookman Old Style" w:hAnsi="Bookman Old Style"/>
          <w:sz w:val="22"/>
          <w:szCs w:val="22"/>
        </w:rPr>
        <w:t xml:space="preserve"> </w:t>
      </w:r>
      <w:r w:rsidR="00562010" w:rsidRPr="006B5A28">
        <w:rPr>
          <w:rFonts w:ascii="Bookman Old Style" w:hAnsi="Bookman Old Style"/>
          <w:sz w:val="22"/>
          <w:szCs w:val="22"/>
        </w:rPr>
        <w:t xml:space="preserve">The Board may review and revise its rules to ensure clarity </w:t>
      </w:r>
      <w:proofErr w:type="gramStart"/>
      <w:r w:rsidR="00562010">
        <w:rPr>
          <w:rFonts w:ascii="Bookman Old Style" w:hAnsi="Bookman Old Style"/>
          <w:sz w:val="22"/>
          <w:szCs w:val="22"/>
        </w:rPr>
        <w:t>in light of</w:t>
      </w:r>
      <w:proofErr w:type="gramEnd"/>
      <w:r w:rsidR="00562010">
        <w:rPr>
          <w:rFonts w:ascii="Bookman Old Style" w:hAnsi="Bookman Old Style"/>
          <w:sz w:val="22"/>
          <w:szCs w:val="22"/>
        </w:rPr>
        <w:t xml:space="preserve"> changing industry education standards.</w:t>
      </w:r>
    </w:p>
    <w:p w14:paraId="3D55CD75" w14:textId="77777777" w:rsidR="002C450C" w:rsidRPr="006B5A28" w:rsidRDefault="002C450C"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SCHEDULE FOR ADOPTION: </w:t>
      </w:r>
      <w:r w:rsidR="00813EEC" w:rsidRPr="006B5A28">
        <w:rPr>
          <w:rFonts w:ascii="Bookman Old Style" w:hAnsi="Bookman Old Style"/>
          <w:spacing w:val="-3"/>
          <w:sz w:val="22"/>
          <w:szCs w:val="22"/>
        </w:rPr>
        <w:t>Within one year, if necessary.</w:t>
      </w:r>
    </w:p>
    <w:p w14:paraId="1FB7E95B" w14:textId="7A9BDA90" w:rsidR="002C450C" w:rsidRPr="006B5A28" w:rsidRDefault="002C450C" w:rsidP="00296D6D">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AFFECTED PARTIES: </w:t>
      </w:r>
      <w:r w:rsidR="009B297B">
        <w:rPr>
          <w:rFonts w:ascii="Bookman Old Style" w:hAnsi="Bookman Old Style"/>
          <w:spacing w:val="-3"/>
          <w:sz w:val="22"/>
          <w:szCs w:val="22"/>
        </w:rPr>
        <w:t xml:space="preserve">Applicants for licensure and </w:t>
      </w:r>
      <w:r w:rsidRPr="006B5A28">
        <w:rPr>
          <w:rFonts w:ascii="Bookman Old Style" w:hAnsi="Bookman Old Style"/>
          <w:spacing w:val="-3"/>
          <w:sz w:val="22"/>
          <w:szCs w:val="22"/>
        </w:rPr>
        <w:t>Licensees</w:t>
      </w:r>
      <w:r w:rsidR="009B297B">
        <w:rPr>
          <w:rFonts w:ascii="Bookman Old Style" w:hAnsi="Bookman Old Style"/>
          <w:spacing w:val="-3"/>
          <w:sz w:val="22"/>
          <w:szCs w:val="22"/>
        </w:rPr>
        <w:t>.</w:t>
      </w:r>
    </w:p>
    <w:p w14:paraId="6D801874" w14:textId="7881CB49" w:rsidR="002C450C" w:rsidRDefault="002C450C" w:rsidP="00296D6D">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sidR="002A1FC4">
        <w:rPr>
          <w:rFonts w:ascii="Bookman Old Style" w:hAnsi="Bookman Old Style"/>
          <w:spacing w:val="-3"/>
          <w:sz w:val="22"/>
          <w:szCs w:val="22"/>
        </w:rPr>
        <w:t>N/A</w:t>
      </w:r>
    </w:p>
    <w:p w14:paraId="0E3A3FB7" w14:textId="77777777" w:rsidR="000D4454" w:rsidRDefault="000D4454" w:rsidP="00296D6D">
      <w:pPr>
        <w:tabs>
          <w:tab w:val="left" w:pos="-720"/>
          <w:tab w:val="left" w:pos="0"/>
          <w:tab w:val="left" w:pos="1440"/>
          <w:tab w:val="left" w:pos="1800"/>
        </w:tabs>
        <w:suppressAutoHyphens/>
        <w:ind w:right="-180"/>
        <w:rPr>
          <w:rFonts w:ascii="Bookman Old Style" w:hAnsi="Bookman Old Style"/>
          <w:spacing w:val="-3"/>
          <w:sz w:val="22"/>
          <w:szCs w:val="22"/>
        </w:rPr>
      </w:pPr>
    </w:p>
    <w:p w14:paraId="62F41794"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5</w:t>
      </w:r>
      <w:r w:rsidRPr="006B5A28">
        <w:rPr>
          <w:rFonts w:ascii="Bookman Old Style" w:hAnsi="Bookman Old Style"/>
          <w:spacing w:val="-3"/>
          <w:sz w:val="22"/>
          <w:szCs w:val="22"/>
        </w:rPr>
        <w:t xml:space="preserve">: </w:t>
      </w:r>
      <w:r w:rsidRPr="009B297B">
        <w:rPr>
          <w:rFonts w:ascii="Bookman Old Style" w:hAnsi="Bookman Old Style"/>
          <w:b/>
          <w:bCs/>
          <w:spacing w:val="-3"/>
          <w:sz w:val="22"/>
          <w:szCs w:val="22"/>
        </w:rPr>
        <w:t>Use of Other License Authorities</w:t>
      </w:r>
    </w:p>
    <w:p w14:paraId="49396753"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3A3DBDD5"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This chapter sets forth the requirements for licensed master and journeyman oil and solid fuel technicians to gain licensed experience as an apprentice to qualify for an additional license authority.  </w:t>
      </w:r>
      <w:r w:rsidRPr="006B5A28">
        <w:rPr>
          <w:rFonts w:ascii="Bookman Old Style" w:hAnsi="Bookman Old Style"/>
          <w:sz w:val="22"/>
          <w:szCs w:val="22"/>
        </w:rPr>
        <w:t>The Board may review and revise its rules to ensure clarity and conformity with the enabling statute.</w:t>
      </w:r>
    </w:p>
    <w:p w14:paraId="6DA876AF"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SCHEDULE FOR ADOPTION: Within one year, if necessary.</w:t>
      </w:r>
    </w:p>
    <w:p w14:paraId="72DDFD66"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AFFECTED PARTIES: </w:t>
      </w:r>
      <w:r>
        <w:rPr>
          <w:rFonts w:ascii="Bookman Old Style" w:hAnsi="Bookman Old Style"/>
          <w:spacing w:val="-3"/>
          <w:sz w:val="22"/>
          <w:szCs w:val="22"/>
        </w:rPr>
        <w:t xml:space="preserve">Applicants for licensure and </w:t>
      </w:r>
      <w:r w:rsidRPr="006B5A28">
        <w:rPr>
          <w:rFonts w:ascii="Bookman Old Style" w:hAnsi="Bookman Old Style"/>
          <w:spacing w:val="-3"/>
          <w:sz w:val="22"/>
          <w:szCs w:val="22"/>
        </w:rPr>
        <w:t>Licensees</w:t>
      </w:r>
      <w:r>
        <w:rPr>
          <w:rFonts w:ascii="Bookman Old Style" w:hAnsi="Bookman Old Style"/>
          <w:spacing w:val="-3"/>
          <w:sz w:val="22"/>
          <w:szCs w:val="22"/>
        </w:rPr>
        <w:t xml:space="preserve">. </w:t>
      </w:r>
    </w:p>
    <w:p w14:paraId="494F2C90"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7D6D698C" w14:textId="77777777" w:rsidR="000D4454" w:rsidRPr="006B5A28" w:rsidRDefault="000D4454" w:rsidP="000D4454">
      <w:pPr>
        <w:tabs>
          <w:tab w:val="left" w:pos="-720"/>
          <w:tab w:val="left" w:pos="0"/>
          <w:tab w:val="left" w:pos="1440"/>
          <w:tab w:val="left" w:pos="1800"/>
        </w:tabs>
        <w:suppressAutoHyphens/>
        <w:rPr>
          <w:rFonts w:ascii="Bookman Old Style" w:hAnsi="Bookman Old Style"/>
          <w:spacing w:val="-3"/>
          <w:sz w:val="22"/>
          <w:szCs w:val="22"/>
        </w:rPr>
      </w:pPr>
    </w:p>
    <w:p w14:paraId="69772CDF" w14:textId="5D164A4C"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6</w:t>
      </w:r>
      <w:r w:rsidRPr="006B5A28">
        <w:rPr>
          <w:rFonts w:ascii="Bookman Old Style" w:hAnsi="Bookman Old Style"/>
          <w:spacing w:val="-3"/>
          <w:sz w:val="22"/>
          <w:szCs w:val="22"/>
        </w:rPr>
        <w:t xml:space="preserve">: </w:t>
      </w:r>
      <w:r w:rsidRPr="00E00DB4">
        <w:rPr>
          <w:rFonts w:ascii="Bookman Old Style" w:hAnsi="Bookman Old Style"/>
          <w:b/>
          <w:bCs/>
          <w:spacing w:val="-3"/>
          <w:sz w:val="22"/>
          <w:szCs w:val="22"/>
        </w:rPr>
        <w:t xml:space="preserve">Adoption of Standards </w:t>
      </w:r>
    </w:p>
    <w:p w14:paraId="1C016186"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7C07047A" w14:textId="77777777" w:rsidR="000D4454" w:rsidRPr="006B5A28" w:rsidRDefault="000D4454" w:rsidP="000D4454">
      <w:pPr>
        <w:tabs>
          <w:tab w:val="left" w:pos="0"/>
        </w:tabs>
        <w:ind w:right="-180"/>
        <w:rPr>
          <w:rFonts w:ascii="Bookman Old Style" w:hAnsi="Bookman Old Style"/>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This chapter sets forth the standards for installation of any oil and solid fuel burning equipment, propane and natural gas equipment, chimneys, fireplaces and vents.  </w:t>
      </w:r>
      <w:r w:rsidRPr="006B5A28">
        <w:rPr>
          <w:rFonts w:ascii="Bookman Old Style" w:hAnsi="Bookman Old Style"/>
          <w:sz w:val="22"/>
          <w:szCs w:val="22"/>
        </w:rPr>
        <w:t xml:space="preserve">The Board may review and revise its rules to ensure clarity and conformity with the enabling </w:t>
      </w:r>
      <w:proofErr w:type="gramStart"/>
      <w:r w:rsidRPr="006B5A28">
        <w:rPr>
          <w:rFonts w:ascii="Bookman Old Style" w:hAnsi="Bookman Old Style"/>
          <w:sz w:val="22"/>
          <w:szCs w:val="22"/>
        </w:rPr>
        <w:t>statute, and</w:t>
      </w:r>
      <w:proofErr w:type="gramEnd"/>
      <w:r w:rsidRPr="006B5A28">
        <w:rPr>
          <w:rFonts w:ascii="Bookman Old Style" w:hAnsi="Bookman Old Style"/>
          <w:sz w:val="22"/>
          <w:szCs w:val="22"/>
        </w:rPr>
        <w:t xml:space="preserve"> </w:t>
      </w:r>
      <w:r>
        <w:rPr>
          <w:rFonts w:ascii="Bookman Old Style" w:hAnsi="Bookman Old Style"/>
          <w:sz w:val="22"/>
          <w:szCs w:val="22"/>
        </w:rPr>
        <w:t xml:space="preserve">will </w:t>
      </w:r>
      <w:r w:rsidRPr="006B5A28">
        <w:rPr>
          <w:rFonts w:ascii="Bookman Old Style" w:hAnsi="Bookman Old Style"/>
          <w:sz w:val="22"/>
          <w:szCs w:val="22"/>
        </w:rPr>
        <w:t xml:space="preserve">update </w:t>
      </w:r>
      <w:r>
        <w:rPr>
          <w:rFonts w:ascii="Bookman Old Style" w:hAnsi="Bookman Old Style"/>
          <w:sz w:val="22"/>
          <w:szCs w:val="22"/>
        </w:rPr>
        <w:t xml:space="preserve">adopted </w:t>
      </w:r>
      <w:r w:rsidRPr="006B5A28">
        <w:rPr>
          <w:rFonts w:ascii="Bookman Old Style" w:hAnsi="Bookman Old Style"/>
          <w:sz w:val="22"/>
          <w:szCs w:val="22"/>
        </w:rPr>
        <w:t xml:space="preserve">standards </w:t>
      </w:r>
      <w:r>
        <w:rPr>
          <w:rFonts w:ascii="Bookman Old Style" w:hAnsi="Bookman Old Style"/>
          <w:sz w:val="22"/>
          <w:szCs w:val="22"/>
        </w:rPr>
        <w:t>to more recent versions of published codes and standards.</w:t>
      </w:r>
      <w:r w:rsidRPr="006B5A28">
        <w:rPr>
          <w:rFonts w:ascii="Bookman Old Style" w:hAnsi="Bookman Old Style"/>
          <w:sz w:val="22"/>
          <w:szCs w:val="22"/>
        </w:rPr>
        <w:t xml:space="preserve"> </w:t>
      </w:r>
    </w:p>
    <w:p w14:paraId="3443C25E"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SCHEDULE FOR ADOPTION: Within one year, if necessary.</w:t>
      </w:r>
    </w:p>
    <w:p w14:paraId="26846857"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40A3A36D"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60C173EC"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z w:val="22"/>
          <w:szCs w:val="22"/>
        </w:rPr>
      </w:pPr>
    </w:p>
    <w:p w14:paraId="78891114"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7</w:t>
      </w:r>
      <w:r w:rsidRPr="006B5A28">
        <w:rPr>
          <w:rFonts w:ascii="Bookman Old Style" w:hAnsi="Bookman Old Style"/>
          <w:spacing w:val="-3"/>
          <w:sz w:val="22"/>
          <w:szCs w:val="22"/>
        </w:rPr>
        <w:t xml:space="preserve">: </w:t>
      </w:r>
      <w:r w:rsidRPr="00483555">
        <w:rPr>
          <w:rFonts w:ascii="Bookman Old Style" w:hAnsi="Bookman Old Style"/>
          <w:b/>
          <w:bCs/>
          <w:spacing w:val="-3"/>
          <w:sz w:val="22"/>
          <w:szCs w:val="22"/>
        </w:rPr>
        <w:t>Modification of Standards</w:t>
      </w:r>
    </w:p>
    <w:p w14:paraId="3D611F22"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51F4205C"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This chapter allows the board to authorize modifications to installation standards under unusual circumstances. This chapter provides the board with the discretion to alter installation standards after appropriate technical consideration.  </w:t>
      </w:r>
      <w:r w:rsidRPr="006B5A28">
        <w:rPr>
          <w:rFonts w:ascii="Bookman Old Style" w:hAnsi="Bookman Old Style"/>
          <w:sz w:val="22"/>
          <w:szCs w:val="22"/>
        </w:rPr>
        <w:t>The Board may review and revise its rules to ensure clarity and conformity with the enabling statute.</w:t>
      </w:r>
    </w:p>
    <w:p w14:paraId="1D8A4E6D" w14:textId="77777777" w:rsidR="000D4454" w:rsidRPr="006B5A28" w:rsidRDefault="000D4454" w:rsidP="000D4454">
      <w:pPr>
        <w:tabs>
          <w:tab w:val="left" w:pos="-720"/>
          <w:tab w:val="left" w:pos="0"/>
        </w:tabs>
        <w:suppressAutoHyphens/>
        <w:rPr>
          <w:rFonts w:ascii="Bookman Old Style" w:hAnsi="Bookman Old Style"/>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5DEF7FBE"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48047530" w14:textId="77777777" w:rsidR="000D4454" w:rsidRPr="006B5A28" w:rsidRDefault="000D4454" w:rsidP="5EE2D76A">
      <w:pPr>
        <w:tabs>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3D382EB1" w14:textId="662B2F36" w:rsidR="5EE2D76A" w:rsidRDefault="5EE2D76A" w:rsidP="5EE2D76A">
      <w:pPr>
        <w:tabs>
          <w:tab w:val="left" w:pos="1440"/>
          <w:tab w:val="left" w:pos="1800"/>
        </w:tabs>
        <w:ind w:right="-180"/>
        <w:rPr>
          <w:rFonts w:ascii="Bookman Old Style" w:hAnsi="Bookman Old Style"/>
          <w:sz w:val="22"/>
          <w:szCs w:val="22"/>
        </w:rPr>
      </w:pPr>
    </w:p>
    <w:p w14:paraId="0CC28761" w14:textId="4553E394"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8</w:t>
      </w:r>
      <w:r w:rsidRPr="006B5A28">
        <w:rPr>
          <w:rFonts w:ascii="Bookman Old Style" w:hAnsi="Bookman Old Style"/>
          <w:spacing w:val="-3"/>
          <w:sz w:val="22"/>
          <w:szCs w:val="22"/>
        </w:rPr>
        <w:t>:</w:t>
      </w:r>
      <w:r w:rsidRPr="00CD61CF">
        <w:rPr>
          <w:rFonts w:ascii="Bookman Old Style" w:hAnsi="Bookman Old Style"/>
          <w:b/>
          <w:bCs/>
          <w:spacing w:val="-3"/>
          <w:sz w:val="22"/>
          <w:szCs w:val="22"/>
        </w:rPr>
        <w:t xml:space="preserve"> Installation of Oil Burning Equipment</w:t>
      </w:r>
      <w:r w:rsidR="000C7FC1">
        <w:rPr>
          <w:rFonts w:ascii="Bookman Old Style" w:hAnsi="Bookman Old Style"/>
          <w:b/>
          <w:bCs/>
          <w:spacing w:val="-3"/>
          <w:sz w:val="22"/>
          <w:szCs w:val="22"/>
        </w:rPr>
        <w:t xml:space="preserve"> (with Appendix)</w:t>
      </w:r>
    </w:p>
    <w:p w14:paraId="1DD05F18"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5DDCE0CD"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lastRenderedPageBreak/>
        <w:t>PURPOSE</w:t>
      </w:r>
      <w:r w:rsidRPr="006B5A28">
        <w:rPr>
          <w:rFonts w:ascii="Bookman Old Style" w:hAnsi="Bookman Old Style"/>
          <w:spacing w:val="-3"/>
          <w:sz w:val="22"/>
          <w:szCs w:val="22"/>
        </w:rPr>
        <w:t xml:space="preserve">: This chapter sets forth the guidelines for the installation of oil burning equipment with necessary safety controls, devices and standards for the reduction of fire hazards associated with oil fired equipment used in residential, commercial and industrial applications.  </w:t>
      </w:r>
      <w:r w:rsidRPr="006B5A28">
        <w:rPr>
          <w:rFonts w:ascii="Bookman Old Style" w:hAnsi="Bookman Old Style"/>
          <w:sz w:val="22"/>
          <w:szCs w:val="22"/>
        </w:rPr>
        <w:t>The Board may review and revise its rules to ensure clarity and conformity with the enabling statute.</w:t>
      </w:r>
    </w:p>
    <w:p w14:paraId="7DA90471" w14:textId="77777777" w:rsidR="000D4454" w:rsidRPr="006B5A28" w:rsidRDefault="000D4454" w:rsidP="000D4454">
      <w:pPr>
        <w:tabs>
          <w:tab w:val="left" w:pos="-720"/>
          <w:tab w:val="left" w:pos="0"/>
        </w:tabs>
        <w:suppressAutoHyphens/>
        <w:rPr>
          <w:rFonts w:ascii="Bookman Old Style" w:hAnsi="Bookman Old Style"/>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581C5970"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529FF73A"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5DDC483B" w14:textId="77777777" w:rsidR="000D4454" w:rsidRPr="006B5A28" w:rsidRDefault="000D4454" w:rsidP="000D4454">
      <w:pPr>
        <w:tabs>
          <w:tab w:val="left" w:pos="-720"/>
          <w:tab w:val="left" w:pos="0"/>
        </w:tabs>
        <w:suppressAutoHyphens/>
        <w:rPr>
          <w:rFonts w:ascii="Bookman Old Style" w:hAnsi="Bookman Old Style"/>
          <w:b/>
          <w:spacing w:val="-3"/>
          <w:sz w:val="22"/>
          <w:szCs w:val="22"/>
        </w:rPr>
      </w:pPr>
    </w:p>
    <w:p w14:paraId="66CBE94E" w14:textId="77777777" w:rsidR="000D4454" w:rsidRPr="00B33012" w:rsidRDefault="000D4454" w:rsidP="000D4454">
      <w:pPr>
        <w:tabs>
          <w:tab w:val="left" w:pos="-720"/>
          <w:tab w:val="left" w:pos="0"/>
        </w:tabs>
        <w:suppressAutoHyphens/>
        <w:rPr>
          <w:rFonts w:ascii="Bookman Old Style" w:hAnsi="Bookman Old Style"/>
          <w:b/>
          <w:bCs/>
          <w:spacing w:val="-3"/>
          <w:sz w:val="22"/>
          <w:szCs w:val="22"/>
        </w:rPr>
      </w:pPr>
      <w:r w:rsidRPr="006B5A28">
        <w:rPr>
          <w:rFonts w:ascii="Bookman Old Style" w:hAnsi="Bookman Old Style"/>
          <w:b/>
          <w:spacing w:val="-3"/>
          <w:sz w:val="22"/>
          <w:szCs w:val="22"/>
        </w:rPr>
        <w:t>CHAPTER 9</w:t>
      </w:r>
      <w:r w:rsidRPr="006B5A28">
        <w:rPr>
          <w:rFonts w:ascii="Bookman Old Style" w:hAnsi="Bookman Old Style"/>
          <w:spacing w:val="-3"/>
          <w:sz w:val="22"/>
          <w:szCs w:val="22"/>
        </w:rPr>
        <w:t xml:space="preserve">: </w:t>
      </w:r>
      <w:r w:rsidRPr="00B33012">
        <w:rPr>
          <w:rFonts w:ascii="Bookman Old Style" w:hAnsi="Bookman Old Style"/>
          <w:b/>
          <w:bCs/>
          <w:spacing w:val="-3"/>
          <w:sz w:val="22"/>
          <w:szCs w:val="22"/>
        </w:rPr>
        <w:t xml:space="preserve">Installation of Solid Fuel Burning Equipment </w:t>
      </w:r>
    </w:p>
    <w:p w14:paraId="37C2486D"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33615770" w14:textId="77777777" w:rsidR="000D4454" w:rsidRPr="006B5A28" w:rsidRDefault="000D4454" w:rsidP="000D4454">
      <w:pPr>
        <w:keepNext/>
        <w:keepLines/>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The purpose of this chapter is to specify the proper installation of solid fuel burning equipment in accordance with NFPA # 211.  </w:t>
      </w:r>
      <w:r w:rsidRPr="006B5A28">
        <w:rPr>
          <w:rFonts w:ascii="Bookman Old Style" w:hAnsi="Bookman Old Style"/>
          <w:sz w:val="22"/>
          <w:szCs w:val="22"/>
        </w:rPr>
        <w:t>The Board may review and revise its rules to ensure clarity and conformity with the enabling statute.</w:t>
      </w:r>
    </w:p>
    <w:p w14:paraId="3864355C"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775FE3CF"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34B370CA"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62FAC122" w14:textId="77777777" w:rsidR="000D4454" w:rsidRPr="006B5A28" w:rsidRDefault="000D4454" w:rsidP="000D4454">
      <w:pPr>
        <w:tabs>
          <w:tab w:val="left" w:pos="0"/>
          <w:tab w:val="left" w:pos="1486"/>
        </w:tabs>
        <w:rPr>
          <w:rFonts w:ascii="Bookman Old Style" w:hAnsi="Bookman Old Style"/>
          <w:sz w:val="22"/>
          <w:szCs w:val="22"/>
        </w:rPr>
      </w:pPr>
    </w:p>
    <w:p w14:paraId="48D027B1"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10</w:t>
      </w:r>
      <w:r w:rsidRPr="006B5A28">
        <w:rPr>
          <w:rFonts w:ascii="Bookman Old Style" w:hAnsi="Bookman Old Style"/>
          <w:spacing w:val="-3"/>
          <w:sz w:val="22"/>
          <w:szCs w:val="22"/>
        </w:rPr>
        <w:t xml:space="preserve">: </w:t>
      </w:r>
      <w:r w:rsidRPr="004E500A">
        <w:rPr>
          <w:rFonts w:ascii="Bookman Old Style" w:hAnsi="Bookman Old Style"/>
          <w:b/>
          <w:bCs/>
          <w:spacing w:val="-3"/>
          <w:sz w:val="22"/>
          <w:szCs w:val="22"/>
        </w:rPr>
        <w:t>Chimneys</w:t>
      </w:r>
    </w:p>
    <w:p w14:paraId="748F922E"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42E7E998"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The primary purpose of this chapter is to set forth the rules governing the removal of waste gases.  </w:t>
      </w:r>
      <w:r w:rsidRPr="006B5A28">
        <w:rPr>
          <w:rFonts w:ascii="Bookman Old Style" w:hAnsi="Bookman Old Style"/>
          <w:sz w:val="22"/>
          <w:szCs w:val="22"/>
        </w:rPr>
        <w:t>The Board may review and revise its rules to ensure clarity and conformity with the enabling statute.</w:t>
      </w:r>
    </w:p>
    <w:p w14:paraId="55F941DC" w14:textId="77777777" w:rsidR="000D4454" w:rsidRPr="006B5A28" w:rsidRDefault="000D4454" w:rsidP="000D4454">
      <w:pPr>
        <w:tabs>
          <w:tab w:val="left" w:pos="-720"/>
          <w:tab w:val="left" w:pos="0"/>
        </w:tabs>
        <w:suppressAutoHyphens/>
        <w:rPr>
          <w:rFonts w:ascii="Bookman Old Style" w:hAnsi="Bookman Old Style"/>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5660865D"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500F77C6"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7C72C689"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p>
    <w:p w14:paraId="5A376D47" w14:textId="77777777" w:rsidR="000D4454" w:rsidRPr="004E500A" w:rsidRDefault="000D4454" w:rsidP="000D4454">
      <w:pPr>
        <w:tabs>
          <w:tab w:val="left" w:pos="-720"/>
          <w:tab w:val="left" w:pos="0"/>
        </w:tabs>
        <w:suppressAutoHyphens/>
        <w:rPr>
          <w:rFonts w:ascii="Bookman Old Style" w:hAnsi="Bookman Old Style"/>
          <w:b/>
          <w:bCs/>
          <w:spacing w:val="-3"/>
          <w:sz w:val="22"/>
          <w:szCs w:val="22"/>
        </w:rPr>
      </w:pPr>
      <w:r w:rsidRPr="006B5A28">
        <w:rPr>
          <w:rFonts w:ascii="Bookman Old Style" w:hAnsi="Bookman Old Style"/>
          <w:b/>
          <w:spacing w:val="-3"/>
          <w:sz w:val="22"/>
          <w:szCs w:val="22"/>
        </w:rPr>
        <w:t>CHAPTER 11</w:t>
      </w:r>
      <w:r w:rsidRPr="006B5A28">
        <w:rPr>
          <w:rFonts w:ascii="Bookman Old Style" w:hAnsi="Bookman Old Style"/>
          <w:spacing w:val="-3"/>
          <w:sz w:val="22"/>
          <w:szCs w:val="22"/>
        </w:rPr>
        <w:t xml:space="preserve">: </w:t>
      </w:r>
      <w:r w:rsidRPr="004E500A">
        <w:rPr>
          <w:rFonts w:ascii="Bookman Old Style" w:hAnsi="Bookman Old Style"/>
          <w:b/>
          <w:bCs/>
          <w:spacing w:val="-3"/>
          <w:sz w:val="22"/>
          <w:szCs w:val="22"/>
        </w:rPr>
        <w:t xml:space="preserve">Installation of Waste Oil Appliances and Waste Oil Supply Tanks </w:t>
      </w:r>
    </w:p>
    <w:p w14:paraId="1B683235"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075AE6EF"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This chapter provides requirements for the use of waste oil burning equipment and accessory equipment installations.  </w:t>
      </w:r>
      <w:r w:rsidRPr="006B5A28">
        <w:rPr>
          <w:rFonts w:ascii="Bookman Old Style" w:hAnsi="Bookman Old Style"/>
          <w:sz w:val="22"/>
          <w:szCs w:val="22"/>
        </w:rPr>
        <w:t>The Board may review and revise its rules to ensure clarity and conformity with the enabling statute.</w:t>
      </w:r>
    </w:p>
    <w:p w14:paraId="455A23D5"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2E1D8762"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3DDF8EBF"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44740E8D" w14:textId="77777777" w:rsidR="000D4454" w:rsidRPr="006B5A28" w:rsidRDefault="000D4454" w:rsidP="000D4454">
      <w:pPr>
        <w:tabs>
          <w:tab w:val="left" w:pos="0"/>
        </w:tabs>
        <w:rPr>
          <w:rFonts w:ascii="Bookman Old Style" w:hAnsi="Bookman Old Style"/>
          <w:sz w:val="22"/>
          <w:szCs w:val="22"/>
        </w:rPr>
      </w:pPr>
    </w:p>
    <w:p w14:paraId="335F16E8"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12</w:t>
      </w:r>
      <w:r w:rsidRPr="006B5A28">
        <w:rPr>
          <w:rFonts w:ascii="Bookman Old Style" w:hAnsi="Bookman Old Style"/>
          <w:spacing w:val="-3"/>
          <w:sz w:val="22"/>
          <w:szCs w:val="22"/>
        </w:rPr>
        <w:t xml:space="preserve">: </w:t>
      </w:r>
      <w:r w:rsidRPr="004E500A">
        <w:rPr>
          <w:rFonts w:ascii="Bookman Old Style" w:hAnsi="Bookman Old Style"/>
          <w:b/>
          <w:bCs/>
          <w:spacing w:val="-3"/>
          <w:sz w:val="22"/>
          <w:szCs w:val="22"/>
        </w:rPr>
        <w:t>Permits for Aboveground and Underground Propane and Natural Gas Storage Facilities and Rooftop Installations</w:t>
      </w:r>
    </w:p>
    <w:p w14:paraId="61FE9A65"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7F7605E8" w14:textId="77777777" w:rsidR="000D4454" w:rsidRPr="006B5A28" w:rsidRDefault="000D4454" w:rsidP="000D4454">
      <w:pPr>
        <w:tabs>
          <w:tab w:val="left" w:pos="-720"/>
          <w:tab w:val="left" w:pos="0"/>
        </w:tabs>
        <w:suppressAutoHyphens/>
        <w:ind w:right="360"/>
        <w:rPr>
          <w:rFonts w:ascii="Bookman Old Style" w:hAnsi="Bookman Old Style"/>
          <w:spacing w:val="-3"/>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xml:space="preserve">: This chapter sets forth the requirements for permitting aboveground and underground propane and natural gas storage facilities and rooftop installations.  </w:t>
      </w:r>
      <w:r w:rsidRPr="006B5A28">
        <w:rPr>
          <w:rFonts w:ascii="Bookman Old Style" w:hAnsi="Bookman Old Style"/>
          <w:sz w:val="22"/>
          <w:szCs w:val="22"/>
        </w:rPr>
        <w:t>The Board may review and revise its rules to ensure clarity and conformity with the enabling statute.</w:t>
      </w:r>
    </w:p>
    <w:p w14:paraId="6DCD80BA"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7FD04BB0"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74F4A355"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682AF295" w14:textId="77777777" w:rsidR="000D4454" w:rsidRDefault="000D4454" w:rsidP="000D4454">
      <w:pPr>
        <w:tabs>
          <w:tab w:val="left" w:pos="0"/>
        </w:tabs>
        <w:rPr>
          <w:rFonts w:ascii="Bookman Old Style" w:hAnsi="Bookman Old Style"/>
          <w:sz w:val="22"/>
          <w:szCs w:val="22"/>
        </w:rPr>
      </w:pPr>
    </w:p>
    <w:p w14:paraId="7BC7BBB8" w14:textId="77777777" w:rsidR="000273CC" w:rsidRPr="006B5A28" w:rsidRDefault="000273CC" w:rsidP="000D4454">
      <w:pPr>
        <w:tabs>
          <w:tab w:val="left" w:pos="0"/>
        </w:tabs>
        <w:rPr>
          <w:rFonts w:ascii="Bookman Old Style" w:hAnsi="Bookman Old Style"/>
          <w:sz w:val="22"/>
          <w:szCs w:val="22"/>
        </w:rPr>
      </w:pPr>
    </w:p>
    <w:p w14:paraId="52A91DF6"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lastRenderedPageBreak/>
        <w:t>CHAPTER 13</w:t>
      </w:r>
      <w:r w:rsidRPr="006B5A28">
        <w:rPr>
          <w:rFonts w:ascii="Bookman Old Style" w:hAnsi="Bookman Old Style"/>
          <w:spacing w:val="-3"/>
          <w:sz w:val="22"/>
          <w:szCs w:val="22"/>
        </w:rPr>
        <w:t xml:space="preserve">: </w:t>
      </w:r>
      <w:r w:rsidRPr="004E500A">
        <w:rPr>
          <w:rFonts w:ascii="Bookman Old Style" w:hAnsi="Bookman Old Style"/>
          <w:b/>
          <w:bCs/>
          <w:spacing w:val="-3"/>
          <w:sz w:val="22"/>
          <w:szCs w:val="22"/>
        </w:rPr>
        <w:t>Installation of Propane and Natural Gas Burning Equipment</w:t>
      </w:r>
    </w:p>
    <w:p w14:paraId="3CEF4C6C"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43538DD9" w14:textId="77777777" w:rsidR="000D4454" w:rsidRPr="006B5A28" w:rsidRDefault="000D4454" w:rsidP="000D4454">
      <w:pPr>
        <w:tabs>
          <w:tab w:val="left" w:pos="-720"/>
          <w:tab w:val="left" w:pos="0"/>
        </w:tabs>
        <w:suppressAutoHyphens/>
        <w:rPr>
          <w:rFonts w:ascii="Bookman Old Style" w:hAnsi="Bookman Old Style"/>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 This chapter sets forth the guidelines for the installation of propane and natural gas burning equipment with necessary safety controls.</w:t>
      </w:r>
      <w:r w:rsidRPr="006B5A28">
        <w:rPr>
          <w:rFonts w:ascii="Bookman Old Style" w:hAnsi="Bookman Old Style"/>
          <w:sz w:val="22"/>
          <w:szCs w:val="22"/>
        </w:rPr>
        <w:t xml:space="preserve">  The Board may review and revise its rules to ensure clarity and conformity with the enabling statute.  </w:t>
      </w:r>
    </w:p>
    <w:p w14:paraId="777583AA"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7248F5AF"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74062E30" w14:textId="77777777" w:rsidR="000D4454"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24C7479D" w14:textId="77777777" w:rsidR="000D4454"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p>
    <w:p w14:paraId="4B2FE4E1" w14:textId="5A2C56EC"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b/>
          <w:spacing w:val="-3"/>
          <w:sz w:val="22"/>
          <w:szCs w:val="22"/>
        </w:rPr>
        <w:t>CHAPTER 1</w:t>
      </w:r>
      <w:r>
        <w:rPr>
          <w:rFonts w:ascii="Bookman Old Style" w:hAnsi="Bookman Old Style"/>
          <w:b/>
          <w:spacing w:val="-3"/>
          <w:sz w:val="22"/>
          <w:szCs w:val="22"/>
        </w:rPr>
        <w:t>4</w:t>
      </w:r>
      <w:r w:rsidRPr="006B5A28">
        <w:rPr>
          <w:rFonts w:ascii="Bookman Old Style" w:hAnsi="Bookman Old Style"/>
          <w:spacing w:val="-3"/>
          <w:sz w:val="22"/>
          <w:szCs w:val="22"/>
        </w:rPr>
        <w:t xml:space="preserve">: </w:t>
      </w:r>
      <w:r w:rsidR="007C2446">
        <w:rPr>
          <w:rFonts w:ascii="Bookman Old Style" w:hAnsi="Bookman Old Style"/>
          <w:b/>
          <w:bCs/>
          <w:spacing w:val="-3"/>
          <w:sz w:val="22"/>
          <w:szCs w:val="22"/>
        </w:rPr>
        <w:t>Propane and Natural Gas Containers, Dispensers, and Piping</w:t>
      </w:r>
      <w:r w:rsidR="000C7FC1">
        <w:rPr>
          <w:rFonts w:ascii="Bookman Old Style" w:hAnsi="Bookman Old Style"/>
          <w:b/>
          <w:bCs/>
          <w:spacing w:val="-3"/>
          <w:sz w:val="22"/>
          <w:szCs w:val="22"/>
        </w:rPr>
        <w:t xml:space="preserve"> (with Appendix)</w:t>
      </w:r>
    </w:p>
    <w:p w14:paraId="076C65A8"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STATUTORY BASIS: 32 M.R.S. § 18123(2)</w:t>
      </w:r>
    </w:p>
    <w:p w14:paraId="6484904E" w14:textId="504448F7" w:rsidR="000D4454" w:rsidRPr="006B5A28" w:rsidRDefault="000D4454" w:rsidP="000D4454">
      <w:pPr>
        <w:tabs>
          <w:tab w:val="left" w:pos="-720"/>
          <w:tab w:val="left" w:pos="0"/>
        </w:tabs>
        <w:suppressAutoHyphens/>
        <w:rPr>
          <w:rFonts w:ascii="Bookman Old Style" w:hAnsi="Bookman Old Style"/>
          <w:sz w:val="22"/>
          <w:szCs w:val="22"/>
        </w:rPr>
      </w:pPr>
      <w:r>
        <w:rPr>
          <w:rFonts w:ascii="Bookman Old Style" w:hAnsi="Bookman Old Style"/>
          <w:spacing w:val="-3"/>
          <w:sz w:val="22"/>
          <w:szCs w:val="22"/>
        </w:rPr>
        <w:t>PURPOSE</w:t>
      </w:r>
      <w:r w:rsidRPr="006B5A28">
        <w:rPr>
          <w:rFonts w:ascii="Bookman Old Style" w:hAnsi="Bookman Old Style"/>
          <w:spacing w:val="-3"/>
          <w:sz w:val="22"/>
          <w:szCs w:val="22"/>
        </w:rPr>
        <w:t>:</w:t>
      </w:r>
      <w:r w:rsidRPr="00E422DD">
        <w:rPr>
          <w:rFonts w:ascii="Bookman Old Style" w:hAnsi="Bookman Old Style"/>
          <w:spacing w:val="-3"/>
          <w:sz w:val="22"/>
          <w:szCs w:val="22"/>
        </w:rPr>
        <w:t xml:space="preserve"> </w:t>
      </w:r>
      <w:r w:rsidR="00E422DD">
        <w:rPr>
          <w:rFonts w:ascii="Bookman Old Style" w:hAnsi="Bookman Old Style"/>
          <w:spacing w:val="-3"/>
          <w:sz w:val="22"/>
          <w:szCs w:val="22"/>
        </w:rPr>
        <w:t xml:space="preserve">This chapter </w:t>
      </w:r>
      <w:r w:rsidR="00E422DD" w:rsidRPr="00E422DD">
        <w:rPr>
          <w:rFonts w:ascii="Bookman Old Style" w:hAnsi="Bookman Old Style"/>
          <w:sz w:val="22"/>
          <w:szCs w:val="22"/>
        </w:rPr>
        <w:t xml:space="preserve">describes the necessary safety controls, devices and standards for the reduction of fire hazards associated with propane and natural gas storage and transfer equipment (including piping) used in residential, commercial and industrial applications. </w:t>
      </w:r>
      <w:r w:rsidRPr="00E422DD">
        <w:rPr>
          <w:rFonts w:ascii="Bookman Old Style" w:hAnsi="Bookman Old Style"/>
          <w:sz w:val="22"/>
          <w:szCs w:val="22"/>
        </w:rPr>
        <w:t xml:space="preserve">  The Board may review and revise its rules to ensure clarity and conformity with the enabling statute.</w:t>
      </w:r>
      <w:r w:rsidRPr="006B5A28">
        <w:rPr>
          <w:rFonts w:ascii="Bookman Old Style" w:hAnsi="Bookman Old Style"/>
          <w:sz w:val="22"/>
          <w:szCs w:val="22"/>
        </w:rPr>
        <w:t xml:space="preserve">  </w:t>
      </w:r>
    </w:p>
    <w:p w14:paraId="4CA0FBF8"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 xml:space="preserve">SCHEDULE FOR ADOPTION: </w:t>
      </w:r>
      <w:r w:rsidRPr="006B5A28">
        <w:rPr>
          <w:rFonts w:ascii="Bookman Old Style" w:hAnsi="Bookman Old Style"/>
          <w:sz w:val="22"/>
          <w:szCs w:val="22"/>
        </w:rPr>
        <w:t>Within one year, if necessary.</w:t>
      </w:r>
    </w:p>
    <w:p w14:paraId="56EF27B1" w14:textId="77777777" w:rsidR="000D4454" w:rsidRPr="006B5A28" w:rsidRDefault="000D4454" w:rsidP="000D4454">
      <w:pPr>
        <w:tabs>
          <w:tab w:val="left" w:pos="-720"/>
          <w:tab w:val="left" w:pos="0"/>
        </w:tabs>
        <w:suppressAutoHyphens/>
        <w:rPr>
          <w:rFonts w:ascii="Bookman Old Style" w:hAnsi="Bookman Old Style"/>
          <w:spacing w:val="-3"/>
          <w:sz w:val="22"/>
          <w:szCs w:val="22"/>
        </w:rPr>
      </w:pPr>
      <w:r w:rsidRPr="006B5A28">
        <w:rPr>
          <w:rFonts w:ascii="Bookman Old Style" w:hAnsi="Bookman Old Style"/>
          <w:spacing w:val="-3"/>
          <w:sz w:val="22"/>
          <w:szCs w:val="22"/>
        </w:rPr>
        <w:t>AFFECTED PARTIES: Licensees</w:t>
      </w:r>
      <w:r>
        <w:rPr>
          <w:rFonts w:ascii="Bookman Old Style" w:hAnsi="Bookman Old Style"/>
          <w:spacing w:val="-3"/>
          <w:sz w:val="22"/>
          <w:szCs w:val="22"/>
        </w:rPr>
        <w:t xml:space="preserve"> and members of the public.</w:t>
      </w:r>
    </w:p>
    <w:p w14:paraId="2FD29FE5" w14:textId="77777777" w:rsidR="000D4454" w:rsidRDefault="000D4454" w:rsidP="000D4454">
      <w:pPr>
        <w:tabs>
          <w:tab w:val="left" w:pos="-720"/>
          <w:tab w:val="left" w:pos="0"/>
          <w:tab w:val="left" w:pos="1440"/>
          <w:tab w:val="left" w:pos="1800"/>
        </w:tabs>
        <w:suppressAutoHyphens/>
        <w:ind w:right="-180"/>
        <w:rPr>
          <w:rFonts w:ascii="Bookman Old Style" w:hAnsi="Bookman Old Style"/>
          <w:spacing w:val="-3"/>
          <w:sz w:val="22"/>
          <w:szCs w:val="22"/>
        </w:rPr>
      </w:pPr>
      <w:r w:rsidRPr="006B5A28">
        <w:rPr>
          <w:rFonts w:ascii="Bookman Old Style" w:hAnsi="Bookman Old Style"/>
          <w:spacing w:val="-3"/>
          <w:sz w:val="22"/>
          <w:szCs w:val="22"/>
        </w:rPr>
        <w:t xml:space="preserve">CONSENSUS-BASED RULE DEVELOPMENT: </w:t>
      </w:r>
      <w:r>
        <w:rPr>
          <w:rFonts w:ascii="Bookman Old Style" w:hAnsi="Bookman Old Style"/>
          <w:spacing w:val="-3"/>
          <w:sz w:val="22"/>
          <w:szCs w:val="22"/>
        </w:rPr>
        <w:t>N/A</w:t>
      </w:r>
    </w:p>
    <w:p w14:paraId="2C26CBC5" w14:textId="77777777" w:rsidR="000D4454" w:rsidRDefault="000D4454" w:rsidP="000D4454">
      <w:pPr>
        <w:tabs>
          <w:tab w:val="left" w:pos="-720"/>
          <w:tab w:val="left" w:pos="0"/>
          <w:tab w:val="left" w:pos="1440"/>
          <w:tab w:val="left" w:pos="1800"/>
        </w:tabs>
        <w:suppressAutoHyphens/>
        <w:ind w:right="-180"/>
        <w:rPr>
          <w:rFonts w:ascii="Bookman Old Style" w:hAnsi="Bookman Old Style"/>
          <w:sz w:val="22"/>
          <w:szCs w:val="22"/>
        </w:rPr>
      </w:pPr>
    </w:p>
    <w:p w14:paraId="6764006F" w14:textId="77777777" w:rsidR="000D4454" w:rsidRDefault="000D4454" w:rsidP="000D4454">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b/>
          <w:bCs/>
          <w:sz w:val="22"/>
          <w:szCs w:val="22"/>
        </w:rPr>
        <w:t>CHAPTER NUMBER</w:t>
      </w:r>
      <w:r>
        <w:rPr>
          <w:rStyle w:val="normaltextrun"/>
          <w:rFonts w:ascii="Bookman Old Style" w:hAnsi="Bookman Old Style" w:cs="Segoe UI"/>
          <w:b/>
          <w:bCs/>
          <w:caps/>
          <w:sz w:val="22"/>
          <w:szCs w:val="22"/>
        </w:rPr>
        <w:t xml:space="preserve"> AND TITLE</w:t>
      </w:r>
      <w:r>
        <w:rPr>
          <w:rStyle w:val="normaltextrun"/>
          <w:rFonts w:ascii="Bookman Old Style" w:hAnsi="Bookman Old Style" w:cs="Segoe UI"/>
          <w:b/>
          <w:bCs/>
          <w:sz w:val="22"/>
          <w:szCs w:val="22"/>
        </w:rPr>
        <w:t>: N/A</w:t>
      </w:r>
      <w:r>
        <w:rPr>
          <w:rStyle w:val="normaltextrun"/>
          <w:sz w:val="22"/>
          <w:szCs w:val="22"/>
        </w:rPr>
        <w:t>  </w:t>
      </w:r>
      <w:r>
        <w:rPr>
          <w:rStyle w:val="eop"/>
          <w:rFonts w:ascii="Bookman Old Style" w:hAnsi="Bookman Old Style" w:cs="Segoe UI"/>
          <w:sz w:val="22"/>
          <w:szCs w:val="22"/>
        </w:rPr>
        <w:t> </w:t>
      </w:r>
    </w:p>
    <w:p w14:paraId="02718130" w14:textId="77777777" w:rsidR="000D4454" w:rsidRDefault="000D4454" w:rsidP="000D4454">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STATUTORY BASIS: 32 M.R.S. § 18142-A; 10 M.R.S. 8003-H</w:t>
      </w:r>
      <w:r>
        <w:rPr>
          <w:rStyle w:val="eop"/>
          <w:rFonts w:ascii="Bookman Old Style" w:hAnsi="Bookman Old Style" w:cs="Segoe UI"/>
          <w:sz w:val="22"/>
          <w:szCs w:val="22"/>
        </w:rPr>
        <w:t> </w:t>
      </w:r>
    </w:p>
    <w:p w14:paraId="5775C044" w14:textId="77777777" w:rsidR="000D4454" w:rsidRDefault="000D4454" w:rsidP="000D4454">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PURPOSE: To implement</w:t>
      </w:r>
      <w:r>
        <w:rPr>
          <w:rStyle w:val="normaltextrun"/>
          <w:rFonts w:ascii="Bookman Old Style" w:hAnsi="Bookman Old Style" w:cs="Segoe UI"/>
          <w:color w:val="000000"/>
          <w:sz w:val="22"/>
          <w:szCs w:val="22"/>
          <w:shd w:val="clear" w:color="auto" w:fill="FFFFFF"/>
        </w:rPr>
        <w:t xml:space="preserve"> P.L. 2</w:t>
      </w:r>
      <w:r>
        <w:rPr>
          <w:rStyle w:val="normaltextrun"/>
          <w:rFonts w:ascii="Bookman Old Style" w:hAnsi="Bookman Old Style" w:cs="Segoe UI"/>
          <w:color w:val="000000"/>
          <w:sz w:val="22"/>
          <w:szCs w:val="22"/>
          <w:shd w:val="clear" w:color="auto" w:fill="FFFFFF"/>
          <w:lang w:val="en"/>
        </w:rPr>
        <w:t>021, c. 167 and P.L. 2021, c. 642, to establish a process to issue a license by endorsement and to grant provisional licenses to applicants from other jurisdictions.</w:t>
      </w:r>
      <w:r>
        <w:rPr>
          <w:rStyle w:val="normaltextrun"/>
          <w:sz w:val="22"/>
          <w:szCs w:val="22"/>
        </w:rPr>
        <w:t> </w:t>
      </w:r>
      <w:r>
        <w:rPr>
          <w:rStyle w:val="eop"/>
          <w:rFonts w:ascii="Bookman Old Style" w:hAnsi="Bookman Old Style" w:cs="Segoe UI"/>
          <w:sz w:val="22"/>
          <w:szCs w:val="22"/>
        </w:rPr>
        <w:t> </w:t>
      </w:r>
    </w:p>
    <w:p w14:paraId="5B5DC287" w14:textId="77777777" w:rsidR="000D4454" w:rsidRDefault="000D4454" w:rsidP="000D4454">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SCHEDULE FOR ADOPTION: Within one year, if necessary.</w:t>
      </w:r>
      <w:r>
        <w:rPr>
          <w:rStyle w:val="normaltextrun"/>
          <w:sz w:val="22"/>
          <w:szCs w:val="22"/>
        </w:rPr>
        <w:t> </w:t>
      </w:r>
      <w:r>
        <w:rPr>
          <w:rStyle w:val="eop"/>
          <w:rFonts w:ascii="Bookman Old Style" w:hAnsi="Bookman Old Style" w:cs="Segoe UI"/>
          <w:sz w:val="22"/>
          <w:szCs w:val="22"/>
        </w:rPr>
        <w:t> </w:t>
      </w:r>
    </w:p>
    <w:p w14:paraId="36FC8D02" w14:textId="77777777" w:rsidR="000D4454" w:rsidRDefault="000D4454" w:rsidP="000D4454">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AFFECTED PARTIES: Applicants for licensure.</w:t>
      </w:r>
      <w:r>
        <w:rPr>
          <w:rStyle w:val="normaltextrun"/>
          <w:sz w:val="22"/>
          <w:szCs w:val="22"/>
        </w:rPr>
        <w:t> </w:t>
      </w:r>
      <w:r>
        <w:rPr>
          <w:rStyle w:val="eop"/>
          <w:rFonts w:ascii="Bookman Old Style" w:hAnsi="Bookman Old Style" w:cs="Segoe UI"/>
          <w:sz w:val="22"/>
          <w:szCs w:val="22"/>
        </w:rPr>
        <w:t> </w:t>
      </w:r>
    </w:p>
    <w:p w14:paraId="11BA6902" w14:textId="77777777" w:rsidR="000D4454" w:rsidRDefault="000D4454" w:rsidP="000D4454">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CONSENSUS-BASED RULE DEVELOPMENT: N/A</w:t>
      </w:r>
      <w:r>
        <w:rPr>
          <w:rStyle w:val="eop"/>
          <w:rFonts w:ascii="Bookman Old Style" w:hAnsi="Bookman Old Style" w:cs="Segoe UI"/>
          <w:sz w:val="22"/>
          <w:szCs w:val="22"/>
        </w:rPr>
        <w:t> </w:t>
      </w:r>
    </w:p>
    <w:p w14:paraId="375B3F0E" w14:textId="77777777" w:rsidR="000D4454" w:rsidRPr="006B5A28" w:rsidRDefault="000D4454" w:rsidP="000D4454">
      <w:pPr>
        <w:tabs>
          <w:tab w:val="left" w:pos="-720"/>
          <w:tab w:val="left" w:pos="0"/>
          <w:tab w:val="left" w:pos="1440"/>
          <w:tab w:val="left" w:pos="1800"/>
        </w:tabs>
        <w:suppressAutoHyphens/>
        <w:ind w:right="-180"/>
        <w:rPr>
          <w:rFonts w:ascii="Bookman Old Style" w:hAnsi="Bookman Old Style"/>
          <w:sz w:val="22"/>
          <w:szCs w:val="22"/>
        </w:rPr>
      </w:pPr>
    </w:p>
    <w:p w14:paraId="1AE51F72" w14:textId="77777777" w:rsidR="000D4454" w:rsidRPr="006B5A28" w:rsidRDefault="000D4454" w:rsidP="00296D6D">
      <w:pPr>
        <w:tabs>
          <w:tab w:val="left" w:pos="-720"/>
          <w:tab w:val="left" w:pos="0"/>
          <w:tab w:val="left" w:pos="1440"/>
          <w:tab w:val="left" w:pos="1800"/>
        </w:tabs>
        <w:suppressAutoHyphens/>
        <w:ind w:right="-180"/>
        <w:rPr>
          <w:rFonts w:ascii="Bookman Old Style" w:hAnsi="Bookman Old Style"/>
          <w:spacing w:val="-3"/>
          <w:sz w:val="22"/>
          <w:szCs w:val="22"/>
        </w:rPr>
      </w:pPr>
    </w:p>
    <w:p w14:paraId="66371685" w14:textId="77777777" w:rsidR="002C450C" w:rsidRPr="006B5A28" w:rsidRDefault="002C450C" w:rsidP="00296D6D">
      <w:pPr>
        <w:tabs>
          <w:tab w:val="left" w:pos="-720"/>
          <w:tab w:val="left" w:pos="0"/>
        </w:tabs>
        <w:suppressAutoHyphens/>
        <w:rPr>
          <w:rFonts w:ascii="Bookman Old Style" w:hAnsi="Bookman Old Style"/>
          <w:spacing w:val="-3"/>
          <w:sz w:val="22"/>
          <w:szCs w:val="22"/>
        </w:rPr>
      </w:pPr>
    </w:p>
    <w:p w14:paraId="4ADD1E1F" w14:textId="01314FDE" w:rsidR="00DB79DC" w:rsidRDefault="00DB79DC" w:rsidP="00296D6D">
      <w:pPr>
        <w:tabs>
          <w:tab w:val="left" w:pos="-720"/>
          <w:tab w:val="left" w:pos="0"/>
          <w:tab w:val="left" w:pos="1440"/>
          <w:tab w:val="left" w:pos="1800"/>
        </w:tabs>
        <w:suppressAutoHyphens/>
        <w:ind w:right="-180"/>
        <w:rPr>
          <w:rFonts w:ascii="Bookman Old Style" w:hAnsi="Bookman Old Style"/>
          <w:sz w:val="22"/>
          <w:szCs w:val="22"/>
        </w:rPr>
      </w:pPr>
    </w:p>
    <w:p w14:paraId="5BD19565" w14:textId="77777777" w:rsidR="00CB0B66" w:rsidRPr="006B5A28" w:rsidRDefault="00CB0B66" w:rsidP="00296D6D">
      <w:pPr>
        <w:tabs>
          <w:tab w:val="left" w:pos="-720"/>
          <w:tab w:val="left" w:pos="0"/>
          <w:tab w:val="left" w:pos="1440"/>
          <w:tab w:val="left" w:pos="1800"/>
        </w:tabs>
        <w:suppressAutoHyphens/>
        <w:ind w:right="-180"/>
        <w:rPr>
          <w:rFonts w:ascii="Bookman Old Style" w:hAnsi="Bookman Old Style"/>
          <w:sz w:val="22"/>
          <w:szCs w:val="22"/>
        </w:rPr>
      </w:pPr>
    </w:p>
    <w:sectPr w:rsidR="00CB0B66" w:rsidRPr="006B5A28" w:rsidSect="00296D6D">
      <w:footerReference w:type="default" r:id="rId11"/>
      <w:endnotePr>
        <w:numFmt w:val="decimal"/>
      </w:endnotePr>
      <w:pgSz w:w="12240" w:h="15840"/>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B077" w14:textId="77777777" w:rsidR="00B46516" w:rsidRDefault="00B46516">
      <w:pPr>
        <w:spacing w:line="20" w:lineRule="exact"/>
      </w:pPr>
    </w:p>
  </w:endnote>
  <w:endnote w:type="continuationSeparator" w:id="0">
    <w:p w14:paraId="4CA0441B" w14:textId="77777777" w:rsidR="00B46516" w:rsidRDefault="00B46516">
      <w:r>
        <w:t xml:space="preserve"> </w:t>
      </w:r>
    </w:p>
  </w:endnote>
  <w:endnote w:type="continuationNotice" w:id="1">
    <w:p w14:paraId="2CB1AB90" w14:textId="77777777" w:rsidR="00B46516" w:rsidRDefault="00B465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5496" w14:textId="27C82FAD" w:rsidR="00296D6D" w:rsidRPr="00296D6D" w:rsidRDefault="00296D6D" w:rsidP="00296D6D">
    <w:pPr>
      <w:pStyle w:val="Footer"/>
      <w:jc w:val="right"/>
      <w:rPr>
        <w:rFonts w:ascii="Bookman Old Style" w:hAnsi="Bookman Old Styl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491D7" w14:textId="77777777" w:rsidR="00B46516" w:rsidRDefault="00B46516">
      <w:r>
        <w:separator/>
      </w:r>
    </w:p>
  </w:footnote>
  <w:footnote w:type="continuationSeparator" w:id="0">
    <w:p w14:paraId="04E8D520" w14:textId="77777777" w:rsidR="00B46516" w:rsidRDefault="00B4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TU1tjC0MDI0MTRS0lEKTi0uzszPAykwNKgFAEopVIEtAAAA"/>
  </w:docVars>
  <w:rsids>
    <w:rsidRoot w:val="00791D7A"/>
    <w:rsid w:val="000174D9"/>
    <w:rsid w:val="000203AE"/>
    <w:rsid w:val="000273CC"/>
    <w:rsid w:val="000545B0"/>
    <w:rsid w:val="00066564"/>
    <w:rsid w:val="000701C5"/>
    <w:rsid w:val="000768FF"/>
    <w:rsid w:val="000B0636"/>
    <w:rsid w:val="000B70FA"/>
    <w:rsid w:val="000C7FC1"/>
    <w:rsid w:val="000D024D"/>
    <w:rsid w:val="000D4454"/>
    <w:rsid w:val="000E336B"/>
    <w:rsid w:val="00101175"/>
    <w:rsid w:val="00110A6A"/>
    <w:rsid w:val="0012267C"/>
    <w:rsid w:val="00126974"/>
    <w:rsid w:val="00137BA9"/>
    <w:rsid w:val="00140337"/>
    <w:rsid w:val="00141B2E"/>
    <w:rsid w:val="00155932"/>
    <w:rsid w:val="00160437"/>
    <w:rsid w:val="00170F39"/>
    <w:rsid w:val="00196A7A"/>
    <w:rsid w:val="00196CE4"/>
    <w:rsid w:val="001A593B"/>
    <w:rsid w:val="001B02E3"/>
    <w:rsid w:val="001C6572"/>
    <w:rsid w:val="001D7E2B"/>
    <w:rsid w:val="0020649E"/>
    <w:rsid w:val="00222EED"/>
    <w:rsid w:val="00233DFB"/>
    <w:rsid w:val="00256D52"/>
    <w:rsid w:val="00266E6A"/>
    <w:rsid w:val="00280C8E"/>
    <w:rsid w:val="00283287"/>
    <w:rsid w:val="00296D6D"/>
    <w:rsid w:val="002A1FC4"/>
    <w:rsid w:val="002A2C42"/>
    <w:rsid w:val="002C203E"/>
    <w:rsid w:val="002C2D61"/>
    <w:rsid w:val="002C450C"/>
    <w:rsid w:val="00300B55"/>
    <w:rsid w:val="0030323E"/>
    <w:rsid w:val="00321086"/>
    <w:rsid w:val="003254F0"/>
    <w:rsid w:val="00334CD9"/>
    <w:rsid w:val="00346B5C"/>
    <w:rsid w:val="00364B1C"/>
    <w:rsid w:val="00372549"/>
    <w:rsid w:val="00393817"/>
    <w:rsid w:val="003C3004"/>
    <w:rsid w:val="00401464"/>
    <w:rsid w:val="00402F96"/>
    <w:rsid w:val="004032EC"/>
    <w:rsid w:val="00436A6C"/>
    <w:rsid w:val="00436F8B"/>
    <w:rsid w:val="0044356C"/>
    <w:rsid w:val="0044386A"/>
    <w:rsid w:val="0044387F"/>
    <w:rsid w:val="00447AA9"/>
    <w:rsid w:val="0048202A"/>
    <w:rsid w:val="00483555"/>
    <w:rsid w:val="004A14DA"/>
    <w:rsid w:val="004C3EC8"/>
    <w:rsid w:val="004D01F9"/>
    <w:rsid w:val="004D0FF5"/>
    <w:rsid w:val="004D7EFD"/>
    <w:rsid w:val="004E500A"/>
    <w:rsid w:val="004F176B"/>
    <w:rsid w:val="004F44AA"/>
    <w:rsid w:val="00507A95"/>
    <w:rsid w:val="00522A1A"/>
    <w:rsid w:val="00541BB0"/>
    <w:rsid w:val="005535BB"/>
    <w:rsid w:val="00554E59"/>
    <w:rsid w:val="00562010"/>
    <w:rsid w:val="00575259"/>
    <w:rsid w:val="00596265"/>
    <w:rsid w:val="00596464"/>
    <w:rsid w:val="00596D27"/>
    <w:rsid w:val="005C2599"/>
    <w:rsid w:val="005C2649"/>
    <w:rsid w:val="005C2F5B"/>
    <w:rsid w:val="005D0569"/>
    <w:rsid w:val="005D6929"/>
    <w:rsid w:val="005F69B3"/>
    <w:rsid w:val="005F71EC"/>
    <w:rsid w:val="00665DD7"/>
    <w:rsid w:val="006672D4"/>
    <w:rsid w:val="00671248"/>
    <w:rsid w:val="00680B37"/>
    <w:rsid w:val="00684585"/>
    <w:rsid w:val="006846E3"/>
    <w:rsid w:val="006869FB"/>
    <w:rsid w:val="006B5A28"/>
    <w:rsid w:val="006D6E18"/>
    <w:rsid w:val="00716A4B"/>
    <w:rsid w:val="00721605"/>
    <w:rsid w:val="00723ED1"/>
    <w:rsid w:val="00727471"/>
    <w:rsid w:val="00761604"/>
    <w:rsid w:val="00775C6D"/>
    <w:rsid w:val="0078305E"/>
    <w:rsid w:val="00784097"/>
    <w:rsid w:val="007872EF"/>
    <w:rsid w:val="00791D7A"/>
    <w:rsid w:val="007A1BE1"/>
    <w:rsid w:val="007A36E5"/>
    <w:rsid w:val="007A37F9"/>
    <w:rsid w:val="007C0565"/>
    <w:rsid w:val="007C2446"/>
    <w:rsid w:val="007D4F74"/>
    <w:rsid w:val="007D66C8"/>
    <w:rsid w:val="007D747A"/>
    <w:rsid w:val="007F35FA"/>
    <w:rsid w:val="007F78F6"/>
    <w:rsid w:val="00813EEC"/>
    <w:rsid w:val="00836318"/>
    <w:rsid w:val="00861617"/>
    <w:rsid w:val="00877C2A"/>
    <w:rsid w:val="008A24D7"/>
    <w:rsid w:val="008A29EC"/>
    <w:rsid w:val="008A32C3"/>
    <w:rsid w:val="008A45C4"/>
    <w:rsid w:val="008B66E3"/>
    <w:rsid w:val="008C07E3"/>
    <w:rsid w:val="008D31C9"/>
    <w:rsid w:val="008D3A62"/>
    <w:rsid w:val="008E1B24"/>
    <w:rsid w:val="008F4E00"/>
    <w:rsid w:val="00902109"/>
    <w:rsid w:val="0090290B"/>
    <w:rsid w:val="00943B27"/>
    <w:rsid w:val="00954F7D"/>
    <w:rsid w:val="00976C1B"/>
    <w:rsid w:val="009807A0"/>
    <w:rsid w:val="00982512"/>
    <w:rsid w:val="00983D10"/>
    <w:rsid w:val="00990ACB"/>
    <w:rsid w:val="009A6BE8"/>
    <w:rsid w:val="009B297B"/>
    <w:rsid w:val="009B65AC"/>
    <w:rsid w:val="009C4933"/>
    <w:rsid w:val="009C61D8"/>
    <w:rsid w:val="00A04060"/>
    <w:rsid w:val="00A0640C"/>
    <w:rsid w:val="00A11221"/>
    <w:rsid w:val="00A13051"/>
    <w:rsid w:val="00A215D1"/>
    <w:rsid w:val="00A22F85"/>
    <w:rsid w:val="00A45F4A"/>
    <w:rsid w:val="00A46B08"/>
    <w:rsid w:val="00A51851"/>
    <w:rsid w:val="00A607C8"/>
    <w:rsid w:val="00A67B02"/>
    <w:rsid w:val="00A75D66"/>
    <w:rsid w:val="00A76FE4"/>
    <w:rsid w:val="00A81343"/>
    <w:rsid w:val="00A8317F"/>
    <w:rsid w:val="00A94FA2"/>
    <w:rsid w:val="00AA60F0"/>
    <w:rsid w:val="00AB14D3"/>
    <w:rsid w:val="00AB4337"/>
    <w:rsid w:val="00AC4D54"/>
    <w:rsid w:val="00AC5A4D"/>
    <w:rsid w:val="00AC5EC7"/>
    <w:rsid w:val="00AD6263"/>
    <w:rsid w:val="00AF381E"/>
    <w:rsid w:val="00B167BE"/>
    <w:rsid w:val="00B26B98"/>
    <w:rsid w:val="00B33012"/>
    <w:rsid w:val="00B40495"/>
    <w:rsid w:val="00B46516"/>
    <w:rsid w:val="00B62F05"/>
    <w:rsid w:val="00BA4A16"/>
    <w:rsid w:val="00BA7900"/>
    <w:rsid w:val="00BB2EE9"/>
    <w:rsid w:val="00BB4DE2"/>
    <w:rsid w:val="00BE1A9A"/>
    <w:rsid w:val="00C067CE"/>
    <w:rsid w:val="00C1590D"/>
    <w:rsid w:val="00C2277D"/>
    <w:rsid w:val="00C336B9"/>
    <w:rsid w:val="00C3662E"/>
    <w:rsid w:val="00C522E4"/>
    <w:rsid w:val="00C555B0"/>
    <w:rsid w:val="00C5795D"/>
    <w:rsid w:val="00C62E40"/>
    <w:rsid w:val="00C70CB5"/>
    <w:rsid w:val="00C71EB9"/>
    <w:rsid w:val="00C749CB"/>
    <w:rsid w:val="00C77F3C"/>
    <w:rsid w:val="00CB0B66"/>
    <w:rsid w:val="00CB4FB6"/>
    <w:rsid w:val="00CD61CF"/>
    <w:rsid w:val="00CF000D"/>
    <w:rsid w:val="00D03B97"/>
    <w:rsid w:val="00D04113"/>
    <w:rsid w:val="00D30C18"/>
    <w:rsid w:val="00D405B2"/>
    <w:rsid w:val="00D45B72"/>
    <w:rsid w:val="00D516CD"/>
    <w:rsid w:val="00D55FDD"/>
    <w:rsid w:val="00D76678"/>
    <w:rsid w:val="00D81D9B"/>
    <w:rsid w:val="00D86AC0"/>
    <w:rsid w:val="00D9586A"/>
    <w:rsid w:val="00DB1264"/>
    <w:rsid w:val="00DB79DC"/>
    <w:rsid w:val="00DC6F47"/>
    <w:rsid w:val="00DD034C"/>
    <w:rsid w:val="00DD39CF"/>
    <w:rsid w:val="00DD4F24"/>
    <w:rsid w:val="00DD6F4F"/>
    <w:rsid w:val="00DD7563"/>
    <w:rsid w:val="00E00DB4"/>
    <w:rsid w:val="00E02590"/>
    <w:rsid w:val="00E1600F"/>
    <w:rsid w:val="00E233A4"/>
    <w:rsid w:val="00E32CF1"/>
    <w:rsid w:val="00E422DD"/>
    <w:rsid w:val="00E44677"/>
    <w:rsid w:val="00E6530D"/>
    <w:rsid w:val="00E67AB0"/>
    <w:rsid w:val="00E711CE"/>
    <w:rsid w:val="00E72BE8"/>
    <w:rsid w:val="00E807B1"/>
    <w:rsid w:val="00EA21A3"/>
    <w:rsid w:val="00EB3BCD"/>
    <w:rsid w:val="00EC3E05"/>
    <w:rsid w:val="00ED650A"/>
    <w:rsid w:val="00EE4EAD"/>
    <w:rsid w:val="00EF170A"/>
    <w:rsid w:val="00EF7615"/>
    <w:rsid w:val="00F0022F"/>
    <w:rsid w:val="00F0566F"/>
    <w:rsid w:val="00F17A60"/>
    <w:rsid w:val="00F314F1"/>
    <w:rsid w:val="00F47E1A"/>
    <w:rsid w:val="00F53EEF"/>
    <w:rsid w:val="00F547B9"/>
    <w:rsid w:val="00F712A8"/>
    <w:rsid w:val="00FB71BA"/>
    <w:rsid w:val="00FE09D1"/>
    <w:rsid w:val="00FE1F94"/>
    <w:rsid w:val="01E7E1C4"/>
    <w:rsid w:val="129B69A1"/>
    <w:rsid w:val="14C8260E"/>
    <w:rsid w:val="1B0B8A8F"/>
    <w:rsid w:val="1E620E14"/>
    <w:rsid w:val="1EC68435"/>
    <w:rsid w:val="2AE04264"/>
    <w:rsid w:val="31B8901C"/>
    <w:rsid w:val="33221F98"/>
    <w:rsid w:val="37A09B81"/>
    <w:rsid w:val="4632E5D1"/>
    <w:rsid w:val="492E6431"/>
    <w:rsid w:val="49CFB07D"/>
    <w:rsid w:val="4D438442"/>
    <w:rsid w:val="50F7087E"/>
    <w:rsid w:val="537C3F58"/>
    <w:rsid w:val="553A9501"/>
    <w:rsid w:val="5658F98C"/>
    <w:rsid w:val="5EE2D76A"/>
    <w:rsid w:val="6009F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41BA8"/>
  <w15:docId w15:val="{B1DD9F01-0212-45C4-AF07-B94B1390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010"/>
    <w:pPr>
      <w:widowControl w:val="0"/>
    </w:pPr>
    <w:rPr>
      <w:rFonts w:ascii="Garamond Antiqua" w:hAnsi="Garamond Antiqu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8F4E00"/>
    <w:rPr>
      <w:rFonts w:ascii="Tahoma" w:hAnsi="Tahoma" w:cs="Tahoma"/>
      <w:sz w:val="16"/>
      <w:szCs w:val="16"/>
    </w:rPr>
  </w:style>
  <w:style w:type="character" w:styleId="Hyperlink">
    <w:name w:val="Hyperlink"/>
    <w:rsid w:val="00A13051"/>
    <w:rPr>
      <w:color w:val="0000FF"/>
      <w:u w:val="single"/>
    </w:rPr>
  </w:style>
  <w:style w:type="paragraph" w:customStyle="1" w:styleId="DefaultText">
    <w:name w:val="Default Text"/>
    <w:basedOn w:val="Normal"/>
    <w:rsid w:val="005F71EC"/>
    <w:pPr>
      <w:widowControl/>
    </w:pPr>
    <w:rPr>
      <w:rFonts w:ascii="Times New Roman" w:hAnsi="Times New Roman"/>
      <w:snapToGrid/>
    </w:rPr>
  </w:style>
  <w:style w:type="paragraph" w:styleId="Header">
    <w:name w:val="header"/>
    <w:basedOn w:val="Normal"/>
    <w:link w:val="HeaderChar"/>
    <w:rsid w:val="00296D6D"/>
    <w:pPr>
      <w:tabs>
        <w:tab w:val="center" w:pos="4680"/>
        <w:tab w:val="right" w:pos="9360"/>
      </w:tabs>
    </w:pPr>
  </w:style>
  <w:style w:type="character" w:customStyle="1" w:styleId="HeaderChar">
    <w:name w:val="Header Char"/>
    <w:link w:val="Header"/>
    <w:rsid w:val="00296D6D"/>
    <w:rPr>
      <w:rFonts w:ascii="Garamond Antiqua" w:hAnsi="Garamond Antiqua"/>
      <w:snapToGrid w:val="0"/>
      <w:sz w:val="24"/>
    </w:rPr>
  </w:style>
  <w:style w:type="paragraph" w:styleId="Footer">
    <w:name w:val="footer"/>
    <w:basedOn w:val="Normal"/>
    <w:link w:val="FooterChar"/>
    <w:uiPriority w:val="99"/>
    <w:rsid w:val="00296D6D"/>
    <w:pPr>
      <w:tabs>
        <w:tab w:val="center" w:pos="4680"/>
        <w:tab w:val="right" w:pos="9360"/>
      </w:tabs>
    </w:pPr>
  </w:style>
  <w:style w:type="character" w:customStyle="1" w:styleId="FooterChar">
    <w:name w:val="Footer Char"/>
    <w:link w:val="Footer"/>
    <w:uiPriority w:val="99"/>
    <w:rsid w:val="00296D6D"/>
    <w:rPr>
      <w:rFonts w:ascii="Garamond Antiqua" w:hAnsi="Garamond Antiqua"/>
      <w:snapToGrid w:val="0"/>
      <w:sz w:val="24"/>
    </w:rPr>
  </w:style>
  <w:style w:type="character" w:customStyle="1" w:styleId="normaltextrun">
    <w:name w:val="normaltextrun"/>
    <w:basedOn w:val="DefaultParagraphFont"/>
    <w:rsid w:val="00E32CF1"/>
  </w:style>
  <w:style w:type="character" w:customStyle="1" w:styleId="eop">
    <w:name w:val="eop"/>
    <w:basedOn w:val="DefaultParagraphFont"/>
    <w:rsid w:val="00E32CF1"/>
  </w:style>
  <w:style w:type="paragraph" w:customStyle="1" w:styleId="paragraph">
    <w:name w:val="paragraph"/>
    <w:basedOn w:val="Normal"/>
    <w:rsid w:val="00CB0B66"/>
    <w:pPr>
      <w:widowControl/>
      <w:spacing w:before="100" w:beforeAutospacing="1" w:after="100" w:afterAutospacing="1"/>
    </w:pPr>
    <w:rPr>
      <w:rFonts w:ascii="Times New Roman" w:hAnsi="Times New Roman"/>
      <w:snapToGrid/>
      <w:szCs w:val="24"/>
    </w:rPr>
  </w:style>
  <w:style w:type="character" w:styleId="UnresolvedMention">
    <w:name w:val="Unresolved Mention"/>
    <w:uiPriority w:val="99"/>
    <w:semiHidden/>
    <w:unhideWhenUsed/>
    <w:rsid w:val="00522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043802">
      <w:bodyDiv w:val="1"/>
      <w:marLeft w:val="0"/>
      <w:marRight w:val="0"/>
      <w:marTop w:val="0"/>
      <w:marBottom w:val="0"/>
      <w:divBdr>
        <w:top w:val="none" w:sz="0" w:space="0" w:color="auto"/>
        <w:left w:val="none" w:sz="0" w:space="0" w:color="auto"/>
        <w:bottom w:val="none" w:sz="0" w:space="0" w:color="auto"/>
        <w:right w:val="none" w:sz="0" w:space="0" w:color="auto"/>
      </w:divBdr>
      <w:divsChild>
        <w:div w:id="1067142204">
          <w:marLeft w:val="0"/>
          <w:marRight w:val="0"/>
          <w:marTop w:val="0"/>
          <w:marBottom w:val="0"/>
          <w:divBdr>
            <w:top w:val="none" w:sz="0" w:space="0" w:color="auto"/>
            <w:left w:val="none" w:sz="0" w:space="0" w:color="auto"/>
            <w:bottom w:val="none" w:sz="0" w:space="0" w:color="auto"/>
            <w:right w:val="none" w:sz="0" w:space="0" w:color="auto"/>
          </w:divBdr>
        </w:div>
        <w:div w:id="1017540245">
          <w:marLeft w:val="0"/>
          <w:marRight w:val="0"/>
          <w:marTop w:val="0"/>
          <w:marBottom w:val="0"/>
          <w:divBdr>
            <w:top w:val="none" w:sz="0" w:space="0" w:color="auto"/>
            <w:left w:val="none" w:sz="0" w:space="0" w:color="auto"/>
            <w:bottom w:val="none" w:sz="0" w:space="0" w:color="auto"/>
            <w:right w:val="none" w:sz="0" w:space="0" w:color="auto"/>
          </w:divBdr>
        </w:div>
        <w:div w:id="55470485">
          <w:marLeft w:val="0"/>
          <w:marRight w:val="0"/>
          <w:marTop w:val="0"/>
          <w:marBottom w:val="0"/>
          <w:divBdr>
            <w:top w:val="none" w:sz="0" w:space="0" w:color="auto"/>
            <w:left w:val="none" w:sz="0" w:space="0" w:color="auto"/>
            <w:bottom w:val="none" w:sz="0" w:space="0" w:color="auto"/>
            <w:right w:val="none" w:sz="0" w:space="0" w:color="auto"/>
          </w:divBdr>
        </w:div>
        <w:div w:id="282926003">
          <w:marLeft w:val="0"/>
          <w:marRight w:val="0"/>
          <w:marTop w:val="0"/>
          <w:marBottom w:val="0"/>
          <w:divBdr>
            <w:top w:val="none" w:sz="0" w:space="0" w:color="auto"/>
            <w:left w:val="none" w:sz="0" w:space="0" w:color="auto"/>
            <w:bottom w:val="none" w:sz="0" w:space="0" w:color="auto"/>
            <w:right w:val="none" w:sz="0" w:space="0" w:color="auto"/>
          </w:divBdr>
        </w:div>
        <w:div w:id="942036720">
          <w:marLeft w:val="0"/>
          <w:marRight w:val="0"/>
          <w:marTop w:val="0"/>
          <w:marBottom w:val="0"/>
          <w:divBdr>
            <w:top w:val="none" w:sz="0" w:space="0" w:color="auto"/>
            <w:left w:val="none" w:sz="0" w:space="0" w:color="auto"/>
            <w:bottom w:val="none" w:sz="0" w:space="0" w:color="auto"/>
            <w:right w:val="none" w:sz="0" w:space="0" w:color="auto"/>
          </w:divBdr>
        </w:div>
        <w:div w:id="138838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enny.vaillancourt@maine.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0AFB0-13F8-4977-BEAE-D7165EE11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96C37-1DFC-4D3C-8899-C6039B606069}">
  <ds:schemaRefs>
    <ds:schemaRef ds:uri="http://schemas.microsoft.com/sharepoint/v3/contenttype/forms"/>
  </ds:schemaRefs>
</ds:datastoreItem>
</file>

<file path=customXml/itemProps3.xml><?xml version="1.0" encoding="utf-8"?>
<ds:datastoreItem xmlns:ds="http://schemas.openxmlformats.org/officeDocument/2006/customXml" ds:itemID="{84B43AAF-21CE-47A1-B22B-418654549A69}">
  <ds:schemaRefs>
    <ds:schemaRef ds:uri="http://schemas.openxmlformats.org/officeDocument/2006/bibliography"/>
  </ds:schemaRefs>
</ds:datastoreItem>
</file>

<file path=customXml/itemProps4.xml><?xml version="1.0" encoding="utf-8"?>
<ds:datastoreItem xmlns:ds="http://schemas.openxmlformats.org/officeDocument/2006/customXml" ds:itemID="{07C1C8E7-6C99-464E-BDCF-E333BF321BF2}">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1292</Words>
  <Characters>7368</Characters>
  <Application>Microsoft Office Word</Application>
  <DocSecurity>0</DocSecurity>
  <Lines>61</Lines>
  <Paragraphs>17</Paragraphs>
  <ScaleCrop>false</ScaleCrop>
  <Company>maine sos</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Administrative Procedure Act</dc:title>
  <dc:subject/>
  <dc:creator>cec</dc:creator>
  <cp:keywords/>
  <dc:description/>
  <cp:lastModifiedBy>Vaillancourt, Penny</cp:lastModifiedBy>
  <cp:revision>29</cp:revision>
  <cp:lastPrinted>2011-09-06T14:36:00Z</cp:lastPrinted>
  <dcterms:created xsi:type="dcterms:W3CDTF">2024-07-08T11:47:00Z</dcterms:created>
  <dcterms:modified xsi:type="dcterms:W3CDTF">2025-06-28T21:37:00Z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